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CFD2D" w14:textId="77777777" w:rsidR="000A585C" w:rsidRDefault="000A585C" w:rsidP="00EF6821">
      <w:pPr>
        <w:jc w:val="center"/>
        <w:rPr>
          <w:sz w:val="32"/>
          <w:szCs w:val="32"/>
        </w:rPr>
      </w:pPr>
    </w:p>
    <w:p w14:paraId="3CFC3510" w14:textId="77777777" w:rsidR="000A585C" w:rsidRDefault="000A585C" w:rsidP="00EF6821">
      <w:pPr>
        <w:jc w:val="center"/>
        <w:rPr>
          <w:sz w:val="32"/>
          <w:szCs w:val="32"/>
        </w:rPr>
      </w:pPr>
    </w:p>
    <w:p w14:paraId="1126BB86" w14:textId="69260CE9" w:rsidR="00B6478E" w:rsidRPr="009E5DAC" w:rsidRDefault="00B6478E" w:rsidP="00EF6821">
      <w:pPr>
        <w:jc w:val="center"/>
        <w:rPr>
          <w:sz w:val="32"/>
          <w:szCs w:val="32"/>
        </w:rPr>
      </w:pPr>
      <w:r w:rsidRPr="009E5DAC">
        <w:rPr>
          <w:sz w:val="32"/>
          <w:szCs w:val="32"/>
        </w:rPr>
        <w:t xml:space="preserve">Comment on </w:t>
      </w:r>
      <w:r w:rsidR="000A585C">
        <w:rPr>
          <w:sz w:val="32"/>
          <w:szCs w:val="32"/>
        </w:rPr>
        <w:t xml:space="preserve">the </w:t>
      </w:r>
      <w:r w:rsidR="00586273" w:rsidRPr="009E5DAC">
        <w:rPr>
          <w:sz w:val="32"/>
          <w:szCs w:val="32"/>
        </w:rPr>
        <w:t>Grand Mesa, Uncompahgre, and Gunnison National Forests</w:t>
      </w:r>
      <w:r w:rsidR="00586273" w:rsidRPr="009E5DAC">
        <w:rPr>
          <w:sz w:val="32"/>
          <w:szCs w:val="32"/>
        </w:rPr>
        <w:t xml:space="preserve"> Draft Environmental Impact Statement</w:t>
      </w:r>
    </w:p>
    <w:p w14:paraId="753E1683" w14:textId="77777777" w:rsidR="000D7434" w:rsidRDefault="000D7434" w:rsidP="00EF6821">
      <w:pPr>
        <w:jc w:val="center"/>
      </w:pPr>
    </w:p>
    <w:p w14:paraId="3DE59186" w14:textId="77777777" w:rsidR="009E5DAC" w:rsidRDefault="009E5DAC" w:rsidP="00EF6821">
      <w:pPr>
        <w:jc w:val="center"/>
      </w:pPr>
    </w:p>
    <w:p w14:paraId="1EA88421" w14:textId="77777777" w:rsidR="009E5DAC" w:rsidRDefault="009E5DAC" w:rsidP="00EF6821">
      <w:pPr>
        <w:jc w:val="center"/>
      </w:pPr>
    </w:p>
    <w:p w14:paraId="06957E3C" w14:textId="77777777" w:rsidR="009E5DAC" w:rsidRDefault="009E5DAC" w:rsidP="00EF6821">
      <w:pPr>
        <w:jc w:val="center"/>
      </w:pPr>
    </w:p>
    <w:p w14:paraId="35318F47" w14:textId="77777777" w:rsidR="009E5DAC" w:rsidRDefault="009E5DAC" w:rsidP="00EF6821">
      <w:pPr>
        <w:jc w:val="center"/>
      </w:pPr>
    </w:p>
    <w:p w14:paraId="769BB7DB" w14:textId="77777777" w:rsidR="009E5DAC" w:rsidRDefault="009E5DAC" w:rsidP="00EF6821">
      <w:pPr>
        <w:jc w:val="center"/>
      </w:pPr>
    </w:p>
    <w:p w14:paraId="633354A0" w14:textId="77777777" w:rsidR="009E5DAC" w:rsidRDefault="009E5DAC" w:rsidP="00EF6821">
      <w:pPr>
        <w:jc w:val="center"/>
      </w:pPr>
    </w:p>
    <w:p w14:paraId="6593F51D" w14:textId="77777777" w:rsidR="009E5DAC" w:rsidRDefault="009E5DAC" w:rsidP="00EF6821">
      <w:pPr>
        <w:jc w:val="center"/>
      </w:pPr>
    </w:p>
    <w:p w14:paraId="47AD0635" w14:textId="77777777" w:rsidR="009E5DAC" w:rsidRDefault="009E5DAC" w:rsidP="00EF6821">
      <w:pPr>
        <w:jc w:val="center"/>
      </w:pPr>
    </w:p>
    <w:p w14:paraId="078ECDCE" w14:textId="77777777" w:rsidR="009E5DAC" w:rsidRDefault="009E5DAC" w:rsidP="00EF6821">
      <w:pPr>
        <w:jc w:val="center"/>
      </w:pPr>
    </w:p>
    <w:p w14:paraId="433E74A5" w14:textId="77777777" w:rsidR="009E5DAC" w:rsidRDefault="009E5DAC" w:rsidP="00EF6821">
      <w:pPr>
        <w:jc w:val="center"/>
      </w:pPr>
    </w:p>
    <w:p w14:paraId="002ABB81" w14:textId="77777777" w:rsidR="009E5DAC" w:rsidRDefault="009E5DAC" w:rsidP="00EF6821">
      <w:pPr>
        <w:jc w:val="center"/>
      </w:pPr>
    </w:p>
    <w:p w14:paraId="6885E1EA" w14:textId="77777777" w:rsidR="009E5DAC" w:rsidRDefault="009E5DAC" w:rsidP="00EF6821">
      <w:pPr>
        <w:jc w:val="center"/>
      </w:pPr>
    </w:p>
    <w:p w14:paraId="65794A34" w14:textId="77777777" w:rsidR="009E5DAC" w:rsidRDefault="009E5DAC" w:rsidP="00EF6821">
      <w:pPr>
        <w:jc w:val="center"/>
      </w:pPr>
    </w:p>
    <w:p w14:paraId="1C7B99FA" w14:textId="074DF83D" w:rsidR="000D7434" w:rsidRDefault="000D7434" w:rsidP="00EF6821">
      <w:pPr>
        <w:jc w:val="center"/>
      </w:pPr>
      <w:r>
        <w:t>Submitted 11/25/2021</w:t>
      </w:r>
    </w:p>
    <w:p w14:paraId="3151CB03" w14:textId="51B240E7" w:rsidR="009E5DAC" w:rsidRDefault="009E5DAC" w:rsidP="00EF6821">
      <w:pPr>
        <w:jc w:val="center"/>
      </w:pPr>
      <w:r>
        <w:t xml:space="preserve">Submitted by </w:t>
      </w:r>
      <w:r>
        <w:t>Jake Bohnsak and Gabriel Lennon</w:t>
      </w:r>
    </w:p>
    <w:p w14:paraId="078D88E3" w14:textId="34C3B092" w:rsidR="009E5DAC" w:rsidRDefault="009E5DAC" w:rsidP="00EF6821">
      <w:pPr>
        <w:jc w:val="center"/>
      </w:pPr>
      <w:r>
        <w:t>Students at the University of Colorado Law School</w:t>
      </w:r>
    </w:p>
    <w:p w14:paraId="55DB1918" w14:textId="30CEA4CC" w:rsidR="00233021" w:rsidRDefault="00233021" w:rsidP="00EF6821">
      <w:pPr>
        <w:jc w:val="center"/>
      </w:pPr>
      <w:r w:rsidRPr="00233021">
        <w:t>LAWS-ENVS 5100-7222-001</w:t>
      </w:r>
    </w:p>
    <w:p w14:paraId="5100D952" w14:textId="77777777" w:rsidR="009E5DAC" w:rsidRDefault="009E5DAC" w:rsidP="00EF6821">
      <w:pPr>
        <w:jc w:val="center"/>
      </w:pPr>
    </w:p>
    <w:p w14:paraId="06C0B5B3" w14:textId="77777777" w:rsidR="000D7434" w:rsidRDefault="000D7434" w:rsidP="00EF6821">
      <w:pPr>
        <w:jc w:val="center"/>
      </w:pPr>
    </w:p>
    <w:p w14:paraId="71D68DFC" w14:textId="77777777" w:rsidR="000D7434" w:rsidRDefault="000D7434" w:rsidP="00EF6821">
      <w:pPr>
        <w:jc w:val="center"/>
      </w:pPr>
    </w:p>
    <w:p w14:paraId="3D3B8578" w14:textId="77777777" w:rsidR="00B6478E" w:rsidRDefault="00B6478E">
      <w:r>
        <w:br w:type="page"/>
      </w:r>
    </w:p>
    <w:p w14:paraId="40E3E952" w14:textId="77777777" w:rsidR="00EF6821" w:rsidRDefault="00EF6821" w:rsidP="00EF6821">
      <w:pPr>
        <w:jc w:val="center"/>
      </w:pPr>
    </w:p>
    <w:p w14:paraId="1D40E28C" w14:textId="77777777" w:rsidR="00EF6821" w:rsidRDefault="00EF6821"/>
    <w:sdt>
      <w:sdtPr>
        <w:rPr>
          <w:rFonts w:asciiTheme="minorHAnsi" w:eastAsiaTheme="minorHAnsi" w:hAnsiTheme="minorHAnsi" w:cstheme="minorBidi"/>
          <w:b w:val="0"/>
          <w:sz w:val="22"/>
          <w:szCs w:val="22"/>
        </w:rPr>
        <w:id w:val="737134711"/>
        <w:docPartObj>
          <w:docPartGallery w:val="Table of Contents"/>
          <w:docPartUnique/>
        </w:docPartObj>
      </w:sdtPr>
      <w:sdtEndPr>
        <w:rPr>
          <w:bCs/>
          <w:noProof/>
        </w:rPr>
      </w:sdtEndPr>
      <w:sdtContent>
        <w:p w14:paraId="743EBDAA" w14:textId="575E6DE6" w:rsidR="00E56B7B" w:rsidRDefault="00474B0B">
          <w:pPr>
            <w:pStyle w:val="TOCHeading"/>
          </w:pPr>
          <w:r>
            <w:t xml:space="preserve">Table of </w:t>
          </w:r>
          <w:r w:rsidR="00E56B7B">
            <w:t>Contents</w:t>
          </w:r>
        </w:p>
        <w:p w14:paraId="4E717D0F" w14:textId="14DD3AD1" w:rsidR="00844D5E" w:rsidRDefault="00E56B7B">
          <w:pPr>
            <w:pStyle w:val="TOC1"/>
            <w:tabs>
              <w:tab w:val="right" w:leader="dot" w:pos="8774"/>
            </w:tabs>
            <w:rPr>
              <w:rFonts w:eastAsiaTheme="minorEastAsia"/>
              <w:noProof/>
            </w:rPr>
          </w:pPr>
          <w:r>
            <w:fldChar w:fldCharType="begin"/>
          </w:r>
          <w:r>
            <w:instrText xml:space="preserve"> TOC \o "1-3" \h \z \u </w:instrText>
          </w:r>
          <w:r>
            <w:fldChar w:fldCharType="separate"/>
          </w:r>
          <w:hyperlink w:anchor="_Toc88752715" w:history="1">
            <w:r w:rsidR="00844D5E" w:rsidRPr="00503C74">
              <w:rPr>
                <w:rStyle w:val="Hyperlink"/>
                <w:rFonts w:eastAsia="Times New Roman"/>
                <w:noProof/>
              </w:rPr>
              <w:t>Comment on the Draft Environmental Impact Statement for the Land Management Plan Revision: Grand Mesa, Uncompahgre, and Gunnison National Forests</w:t>
            </w:r>
            <w:r w:rsidR="00844D5E">
              <w:rPr>
                <w:noProof/>
                <w:webHidden/>
              </w:rPr>
              <w:tab/>
            </w:r>
            <w:r w:rsidR="00844D5E">
              <w:rPr>
                <w:noProof/>
                <w:webHidden/>
              </w:rPr>
              <w:fldChar w:fldCharType="begin"/>
            </w:r>
            <w:r w:rsidR="00844D5E">
              <w:rPr>
                <w:noProof/>
                <w:webHidden/>
              </w:rPr>
              <w:instrText xml:space="preserve"> PAGEREF _Toc88752715 \h </w:instrText>
            </w:r>
            <w:r w:rsidR="00844D5E">
              <w:rPr>
                <w:noProof/>
                <w:webHidden/>
              </w:rPr>
            </w:r>
            <w:r w:rsidR="00844D5E">
              <w:rPr>
                <w:noProof/>
                <w:webHidden/>
              </w:rPr>
              <w:fldChar w:fldCharType="separate"/>
            </w:r>
            <w:r w:rsidR="00844D5E">
              <w:rPr>
                <w:noProof/>
                <w:webHidden/>
              </w:rPr>
              <w:t>3</w:t>
            </w:r>
            <w:r w:rsidR="00844D5E">
              <w:rPr>
                <w:noProof/>
                <w:webHidden/>
              </w:rPr>
              <w:fldChar w:fldCharType="end"/>
            </w:r>
          </w:hyperlink>
        </w:p>
        <w:p w14:paraId="72D7910C" w14:textId="449A4F5B" w:rsidR="00844D5E" w:rsidRDefault="00844D5E">
          <w:pPr>
            <w:pStyle w:val="TOC1"/>
            <w:tabs>
              <w:tab w:val="left" w:pos="440"/>
              <w:tab w:val="right" w:leader="dot" w:pos="8774"/>
            </w:tabs>
            <w:rPr>
              <w:rFonts w:eastAsiaTheme="minorEastAsia"/>
              <w:noProof/>
            </w:rPr>
          </w:pPr>
          <w:hyperlink w:anchor="_Toc88752716" w:history="1">
            <w:r w:rsidRPr="00503C74">
              <w:rPr>
                <w:rStyle w:val="Hyperlink"/>
                <w:rFonts w:eastAsia="Times New Roman"/>
                <w:noProof/>
              </w:rPr>
              <w:t>I.</w:t>
            </w:r>
            <w:r>
              <w:rPr>
                <w:rFonts w:eastAsiaTheme="minorEastAsia"/>
                <w:noProof/>
              </w:rPr>
              <w:tab/>
            </w:r>
            <w:r w:rsidRPr="00503C74">
              <w:rPr>
                <w:rStyle w:val="Hyperlink"/>
                <w:rFonts w:eastAsia="Times New Roman"/>
                <w:noProof/>
              </w:rPr>
              <w:t>The Canada lynx is a listed threatened species that relies on the snowshoe hare.</w:t>
            </w:r>
            <w:r>
              <w:rPr>
                <w:noProof/>
                <w:webHidden/>
              </w:rPr>
              <w:tab/>
            </w:r>
            <w:r>
              <w:rPr>
                <w:noProof/>
                <w:webHidden/>
              </w:rPr>
              <w:fldChar w:fldCharType="begin"/>
            </w:r>
            <w:r>
              <w:rPr>
                <w:noProof/>
                <w:webHidden/>
              </w:rPr>
              <w:instrText xml:space="preserve"> PAGEREF _Toc88752716 \h </w:instrText>
            </w:r>
            <w:r>
              <w:rPr>
                <w:noProof/>
                <w:webHidden/>
              </w:rPr>
            </w:r>
            <w:r>
              <w:rPr>
                <w:noProof/>
                <w:webHidden/>
              </w:rPr>
              <w:fldChar w:fldCharType="separate"/>
            </w:r>
            <w:r>
              <w:rPr>
                <w:noProof/>
                <w:webHidden/>
              </w:rPr>
              <w:t>4</w:t>
            </w:r>
            <w:r>
              <w:rPr>
                <w:noProof/>
                <w:webHidden/>
              </w:rPr>
              <w:fldChar w:fldCharType="end"/>
            </w:r>
          </w:hyperlink>
        </w:p>
        <w:p w14:paraId="52E46914" w14:textId="10AA8144" w:rsidR="00844D5E" w:rsidRDefault="00844D5E">
          <w:pPr>
            <w:pStyle w:val="TOC1"/>
            <w:tabs>
              <w:tab w:val="left" w:pos="440"/>
              <w:tab w:val="right" w:leader="dot" w:pos="8774"/>
            </w:tabs>
            <w:rPr>
              <w:rFonts w:eastAsiaTheme="minorEastAsia"/>
              <w:noProof/>
            </w:rPr>
          </w:pPr>
          <w:hyperlink w:anchor="_Toc88752717" w:history="1">
            <w:r w:rsidRPr="00503C74">
              <w:rPr>
                <w:rStyle w:val="Hyperlink"/>
                <w:noProof/>
              </w:rPr>
              <w:t>II.</w:t>
            </w:r>
            <w:r>
              <w:rPr>
                <w:rFonts w:eastAsiaTheme="minorEastAsia"/>
                <w:noProof/>
              </w:rPr>
              <w:tab/>
            </w:r>
            <w:r w:rsidRPr="00503C74">
              <w:rPr>
                <w:rStyle w:val="Hyperlink"/>
                <w:noProof/>
              </w:rPr>
              <w:t>Alternative C is not based on the best available scientific information and is therefore invalid.</w:t>
            </w:r>
            <w:r>
              <w:rPr>
                <w:noProof/>
                <w:webHidden/>
              </w:rPr>
              <w:tab/>
            </w:r>
            <w:r>
              <w:rPr>
                <w:noProof/>
                <w:webHidden/>
              </w:rPr>
              <w:fldChar w:fldCharType="begin"/>
            </w:r>
            <w:r>
              <w:rPr>
                <w:noProof/>
                <w:webHidden/>
              </w:rPr>
              <w:instrText xml:space="preserve"> PAGEREF _Toc88752717 \h </w:instrText>
            </w:r>
            <w:r>
              <w:rPr>
                <w:noProof/>
                <w:webHidden/>
              </w:rPr>
            </w:r>
            <w:r>
              <w:rPr>
                <w:noProof/>
                <w:webHidden/>
              </w:rPr>
              <w:fldChar w:fldCharType="separate"/>
            </w:r>
            <w:r>
              <w:rPr>
                <w:noProof/>
                <w:webHidden/>
              </w:rPr>
              <w:t>6</w:t>
            </w:r>
            <w:r>
              <w:rPr>
                <w:noProof/>
                <w:webHidden/>
              </w:rPr>
              <w:fldChar w:fldCharType="end"/>
            </w:r>
          </w:hyperlink>
        </w:p>
        <w:p w14:paraId="1F9FF783" w14:textId="2E63C9A6" w:rsidR="00844D5E" w:rsidRDefault="00844D5E">
          <w:pPr>
            <w:pStyle w:val="TOC2"/>
            <w:tabs>
              <w:tab w:val="right" w:leader="dot" w:pos="8774"/>
            </w:tabs>
            <w:rPr>
              <w:rFonts w:eastAsiaTheme="minorEastAsia"/>
              <w:noProof/>
            </w:rPr>
          </w:pPr>
          <w:hyperlink w:anchor="_Toc88752718" w:history="1">
            <w:r w:rsidRPr="00503C74">
              <w:rPr>
                <w:rStyle w:val="Hyperlink"/>
                <w:rFonts w:eastAsia="Times New Roman"/>
                <w:noProof/>
              </w:rPr>
              <w:t>A. The USFS acknowledges that the LCAS and SRLA represent the best available scientific Information.</w:t>
            </w:r>
            <w:r>
              <w:rPr>
                <w:noProof/>
                <w:webHidden/>
              </w:rPr>
              <w:tab/>
            </w:r>
            <w:r>
              <w:rPr>
                <w:noProof/>
                <w:webHidden/>
              </w:rPr>
              <w:fldChar w:fldCharType="begin"/>
            </w:r>
            <w:r>
              <w:rPr>
                <w:noProof/>
                <w:webHidden/>
              </w:rPr>
              <w:instrText xml:space="preserve"> PAGEREF _Toc88752718 \h </w:instrText>
            </w:r>
            <w:r>
              <w:rPr>
                <w:noProof/>
                <w:webHidden/>
              </w:rPr>
            </w:r>
            <w:r>
              <w:rPr>
                <w:noProof/>
                <w:webHidden/>
              </w:rPr>
              <w:fldChar w:fldCharType="separate"/>
            </w:r>
            <w:r>
              <w:rPr>
                <w:noProof/>
                <w:webHidden/>
              </w:rPr>
              <w:t>6</w:t>
            </w:r>
            <w:r>
              <w:rPr>
                <w:noProof/>
                <w:webHidden/>
              </w:rPr>
              <w:fldChar w:fldCharType="end"/>
            </w:r>
          </w:hyperlink>
        </w:p>
        <w:p w14:paraId="56E72EDC" w14:textId="40B83F27" w:rsidR="00844D5E" w:rsidRDefault="00844D5E">
          <w:pPr>
            <w:pStyle w:val="TOC2"/>
            <w:tabs>
              <w:tab w:val="right" w:leader="dot" w:pos="8774"/>
            </w:tabs>
            <w:rPr>
              <w:rFonts w:eastAsiaTheme="minorEastAsia"/>
              <w:noProof/>
            </w:rPr>
          </w:pPr>
          <w:hyperlink w:anchor="_Toc88752719" w:history="1">
            <w:r w:rsidRPr="00503C74">
              <w:rPr>
                <w:rStyle w:val="Hyperlink"/>
                <w:rFonts w:eastAsia="Times New Roman"/>
                <w:noProof/>
              </w:rPr>
              <w:t>B. Alternative C is not in compliance with the 2012 Planning Rule, Executive Order 12866, or NEPA.</w:t>
            </w:r>
            <w:r>
              <w:rPr>
                <w:noProof/>
                <w:webHidden/>
              </w:rPr>
              <w:tab/>
            </w:r>
            <w:r>
              <w:rPr>
                <w:noProof/>
                <w:webHidden/>
              </w:rPr>
              <w:fldChar w:fldCharType="begin"/>
            </w:r>
            <w:r>
              <w:rPr>
                <w:noProof/>
                <w:webHidden/>
              </w:rPr>
              <w:instrText xml:space="preserve"> PAGEREF _Toc88752719 \h </w:instrText>
            </w:r>
            <w:r>
              <w:rPr>
                <w:noProof/>
                <w:webHidden/>
              </w:rPr>
            </w:r>
            <w:r>
              <w:rPr>
                <w:noProof/>
                <w:webHidden/>
              </w:rPr>
              <w:fldChar w:fldCharType="separate"/>
            </w:r>
            <w:r>
              <w:rPr>
                <w:noProof/>
                <w:webHidden/>
              </w:rPr>
              <w:t>7</w:t>
            </w:r>
            <w:r>
              <w:rPr>
                <w:noProof/>
                <w:webHidden/>
              </w:rPr>
              <w:fldChar w:fldCharType="end"/>
            </w:r>
          </w:hyperlink>
        </w:p>
        <w:p w14:paraId="7DFD98B1" w14:textId="02057637" w:rsidR="00844D5E" w:rsidRDefault="00844D5E">
          <w:pPr>
            <w:pStyle w:val="TOC3"/>
            <w:tabs>
              <w:tab w:val="left" w:pos="880"/>
              <w:tab w:val="right" w:leader="dot" w:pos="8774"/>
            </w:tabs>
            <w:rPr>
              <w:rFonts w:eastAsiaTheme="minorEastAsia"/>
              <w:noProof/>
            </w:rPr>
          </w:pPr>
          <w:hyperlink w:anchor="_Toc88752720" w:history="1">
            <w:r w:rsidRPr="00503C74">
              <w:rPr>
                <w:rStyle w:val="Hyperlink"/>
                <w:noProof/>
              </w:rPr>
              <w:t>i.</w:t>
            </w:r>
            <w:r>
              <w:rPr>
                <w:rFonts w:eastAsiaTheme="minorEastAsia"/>
                <w:noProof/>
              </w:rPr>
              <w:tab/>
            </w:r>
            <w:r w:rsidRPr="00503C74">
              <w:rPr>
                <w:rStyle w:val="Hyperlink"/>
                <w:noProof/>
              </w:rPr>
              <w:t>Alternative</w:t>
            </w:r>
            <w:r w:rsidRPr="00503C74">
              <w:rPr>
                <w:rStyle w:val="Hyperlink"/>
                <w:rFonts w:eastAsia="Times New Roman"/>
                <w:noProof/>
              </w:rPr>
              <w:t xml:space="preserve"> C is not in compliance with 2012 Planning Rule 219.3.</w:t>
            </w:r>
            <w:r>
              <w:rPr>
                <w:noProof/>
                <w:webHidden/>
              </w:rPr>
              <w:tab/>
            </w:r>
            <w:r>
              <w:rPr>
                <w:noProof/>
                <w:webHidden/>
              </w:rPr>
              <w:fldChar w:fldCharType="begin"/>
            </w:r>
            <w:r>
              <w:rPr>
                <w:noProof/>
                <w:webHidden/>
              </w:rPr>
              <w:instrText xml:space="preserve"> PAGEREF _Toc88752720 \h </w:instrText>
            </w:r>
            <w:r>
              <w:rPr>
                <w:noProof/>
                <w:webHidden/>
              </w:rPr>
            </w:r>
            <w:r>
              <w:rPr>
                <w:noProof/>
                <w:webHidden/>
              </w:rPr>
              <w:fldChar w:fldCharType="separate"/>
            </w:r>
            <w:r>
              <w:rPr>
                <w:noProof/>
                <w:webHidden/>
              </w:rPr>
              <w:t>7</w:t>
            </w:r>
            <w:r>
              <w:rPr>
                <w:noProof/>
                <w:webHidden/>
              </w:rPr>
              <w:fldChar w:fldCharType="end"/>
            </w:r>
          </w:hyperlink>
        </w:p>
        <w:p w14:paraId="04D7B84A" w14:textId="4399BD64" w:rsidR="00844D5E" w:rsidRDefault="00844D5E">
          <w:pPr>
            <w:pStyle w:val="TOC3"/>
            <w:tabs>
              <w:tab w:val="left" w:pos="880"/>
              <w:tab w:val="right" w:leader="dot" w:pos="8774"/>
            </w:tabs>
            <w:rPr>
              <w:rFonts w:eastAsiaTheme="minorEastAsia"/>
              <w:noProof/>
            </w:rPr>
          </w:pPr>
          <w:hyperlink w:anchor="_Toc88752721" w:history="1">
            <w:r w:rsidRPr="00503C74">
              <w:rPr>
                <w:rStyle w:val="Hyperlink"/>
                <w:noProof/>
              </w:rPr>
              <w:t>ii.</w:t>
            </w:r>
            <w:r>
              <w:rPr>
                <w:rFonts w:eastAsiaTheme="minorEastAsia"/>
                <w:noProof/>
              </w:rPr>
              <w:tab/>
            </w:r>
            <w:r w:rsidRPr="00503C74">
              <w:rPr>
                <w:rStyle w:val="Hyperlink"/>
                <w:rFonts w:eastAsia="Times New Roman"/>
                <w:noProof/>
              </w:rPr>
              <w:t>Alternative C is not in compliance with 2012 Planning Rule 219.9.</w:t>
            </w:r>
            <w:r>
              <w:rPr>
                <w:noProof/>
                <w:webHidden/>
              </w:rPr>
              <w:tab/>
            </w:r>
            <w:r>
              <w:rPr>
                <w:noProof/>
                <w:webHidden/>
              </w:rPr>
              <w:fldChar w:fldCharType="begin"/>
            </w:r>
            <w:r>
              <w:rPr>
                <w:noProof/>
                <w:webHidden/>
              </w:rPr>
              <w:instrText xml:space="preserve"> PAGEREF _Toc88752721 \h </w:instrText>
            </w:r>
            <w:r>
              <w:rPr>
                <w:noProof/>
                <w:webHidden/>
              </w:rPr>
            </w:r>
            <w:r>
              <w:rPr>
                <w:noProof/>
                <w:webHidden/>
              </w:rPr>
              <w:fldChar w:fldCharType="separate"/>
            </w:r>
            <w:r>
              <w:rPr>
                <w:noProof/>
                <w:webHidden/>
              </w:rPr>
              <w:t>8</w:t>
            </w:r>
            <w:r>
              <w:rPr>
                <w:noProof/>
                <w:webHidden/>
              </w:rPr>
              <w:fldChar w:fldCharType="end"/>
            </w:r>
          </w:hyperlink>
        </w:p>
        <w:p w14:paraId="62C59744" w14:textId="5A14D7F0" w:rsidR="00844D5E" w:rsidRDefault="00844D5E">
          <w:pPr>
            <w:pStyle w:val="TOC3"/>
            <w:tabs>
              <w:tab w:val="left" w:pos="880"/>
              <w:tab w:val="right" w:leader="dot" w:pos="8774"/>
            </w:tabs>
            <w:rPr>
              <w:rFonts w:eastAsiaTheme="minorEastAsia"/>
              <w:noProof/>
            </w:rPr>
          </w:pPr>
          <w:hyperlink w:anchor="_Toc88752722" w:history="1">
            <w:r w:rsidRPr="00503C74">
              <w:rPr>
                <w:rStyle w:val="Hyperlink"/>
                <w:noProof/>
              </w:rPr>
              <w:t>iii.</w:t>
            </w:r>
            <w:r>
              <w:rPr>
                <w:rFonts w:eastAsiaTheme="minorEastAsia"/>
                <w:noProof/>
              </w:rPr>
              <w:tab/>
            </w:r>
            <w:r w:rsidRPr="00503C74">
              <w:rPr>
                <w:rStyle w:val="Hyperlink"/>
                <w:rFonts w:eastAsia="Times New Roman"/>
                <w:noProof/>
              </w:rPr>
              <w:t xml:space="preserve">Alternative C is not in </w:t>
            </w:r>
            <w:r w:rsidRPr="00503C74">
              <w:rPr>
                <w:rStyle w:val="Hyperlink"/>
                <w:noProof/>
              </w:rPr>
              <w:t>compliance</w:t>
            </w:r>
            <w:r w:rsidRPr="00503C74">
              <w:rPr>
                <w:rStyle w:val="Hyperlink"/>
                <w:rFonts w:eastAsia="Times New Roman"/>
                <w:noProof/>
              </w:rPr>
              <w:t xml:space="preserve"> with Executive Order 12866.</w:t>
            </w:r>
            <w:r>
              <w:rPr>
                <w:noProof/>
                <w:webHidden/>
              </w:rPr>
              <w:tab/>
            </w:r>
            <w:r>
              <w:rPr>
                <w:noProof/>
                <w:webHidden/>
              </w:rPr>
              <w:fldChar w:fldCharType="begin"/>
            </w:r>
            <w:r>
              <w:rPr>
                <w:noProof/>
                <w:webHidden/>
              </w:rPr>
              <w:instrText xml:space="preserve"> PAGEREF _Toc88752722 \h </w:instrText>
            </w:r>
            <w:r>
              <w:rPr>
                <w:noProof/>
                <w:webHidden/>
              </w:rPr>
            </w:r>
            <w:r>
              <w:rPr>
                <w:noProof/>
                <w:webHidden/>
              </w:rPr>
              <w:fldChar w:fldCharType="separate"/>
            </w:r>
            <w:r>
              <w:rPr>
                <w:noProof/>
                <w:webHidden/>
              </w:rPr>
              <w:t>9</w:t>
            </w:r>
            <w:r>
              <w:rPr>
                <w:noProof/>
                <w:webHidden/>
              </w:rPr>
              <w:fldChar w:fldCharType="end"/>
            </w:r>
          </w:hyperlink>
        </w:p>
        <w:p w14:paraId="5149083C" w14:textId="45DB5D70" w:rsidR="00844D5E" w:rsidRDefault="00844D5E">
          <w:pPr>
            <w:pStyle w:val="TOC3"/>
            <w:tabs>
              <w:tab w:val="left" w:pos="880"/>
              <w:tab w:val="right" w:leader="dot" w:pos="8774"/>
            </w:tabs>
            <w:rPr>
              <w:rFonts w:eastAsiaTheme="minorEastAsia"/>
              <w:noProof/>
            </w:rPr>
          </w:pPr>
          <w:hyperlink w:anchor="_Toc88752723" w:history="1">
            <w:r w:rsidRPr="00503C74">
              <w:rPr>
                <w:rStyle w:val="Hyperlink"/>
                <w:noProof/>
              </w:rPr>
              <w:t>iv.</w:t>
            </w:r>
            <w:r>
              <w:rPr>
                <w:rFonts w:eastAsiaTheme="minorEastAsia"/>
                <w:noProof/>
              </w:rPr>
              <w:tab/>
            </w:r>
            <w:r w:rsidRPr="00503C74">
              <w:rPr>
                <w:rStyle w:val="Hyperlink"/>
                <w:rFonts w:eastAsia="Times New Roman"/>
                <w:noProof/>
              </w:rPr>
              <w:t>Alternative C is not in compliance with NEPA.</w:t>
            </w:r>
            <w:r>
              <w:rPr>
                <w:noProof/>
                <w:webHidden/>
              </w:rPr>
              <w:tab/>
            </w:r>
            <w:r>
              <w:rPr>
                <w:noProof/>
                <w:webHidden/>
              </w:rPr>
              <w:fldChar w:fldCharType="begin"/>
            </w:r>
            <w:r>
              <w:rPr>
                <w:noProof/>
                <w:webHidden/>
              </w:rPr>
              <w:instrText xml:space="preserve"> PAGEREF _Toc88752723 \h </w:instrText>
            </w:r>
            <w:r>
              <w:rPr>
                <w:noProof/>
                <w:webHidden/>
              </w:rPr>
            </w:r>
            <w:r>
              <w:rPr>
                <w:noProof/>
                <w:webHidden/>
              </w:rPr>
              <w:fldChar w:fldCharType="separate"/>
            </w:r>
            <w:r>
              <w:rPr>
                <w:noProof/>
                <w:webHidden/>
              </w:rPr>
              <w:t>9</w:t>
            </w:r>
            <w:r>
              <w:rPr>
                <w:noProof/>
                <w:webHidden/>
              </w:rPr>
              <w:fldChar w:fldCharType="end"/>
            </w:r>
          </w:hyperlink>
        </w:p>
        <w:p w14:paraId="79CDBB49" w14:textId="0F9EE251" w:rsidR="00844D5E" w:rsidRDefault="00844D5E">
          <w:pPr>
            <w:pStyle w:val="TOC3"/>
            <w:tabs>
              <w:tab w:val="left" w:pos="880"/>
              <w:tab w:val="right" w:leader="dot" w:pos="8774"/>
            </w:tabs>
            <w:rPr>
              <w:rFonts w:eastAsiaTheme="minorEastAsia"/>
              <w:noProof/>
            </w:rPr>
          </w:pPr>
          <w:hyperlink w:anchor="_Toc88752724" w:history="1">
            <w:r w:rsidRPr="00503C74">
              <w:rPr>
                <w:rStyle w:val="Hyperlink"/>
                <w:noProof/>
              </w:rPr>
              <w:t>v.</w:t>
            </w:r>
            <w:r>
              <w:rPr>
                <w:rFonts w:eastAsiaTheme="minorEastAsia"/>
                <w:noProof/>
              </w:rPr>
              <w:tab/>
            </w:r>
            <w:r w:rsidRPr="00503C74">
              <w:rPr>
                <w:rStyle w:val="Hyperlink"/>
                <w:rFonts w:eastAsia="Times New Roman"/>
                <w:noProof/>
              </w:rPr>
              <w:t>The Forest Service should remove Alternative C from consideration.</w:t>
            </w:r>
            <w:r>
              <w:rPr>
                <w:noProof/>
                <w:webHidden/>
              </w:rPr>
              <w:tab/>
            </w:r>
            <w:r>
              <w:rPr>
                <w:noProof/>
                <w:webHidden/>
              </w:rPr>
              <w:fldChar w:fldCharType="begin"/>
            </w:r>
            <w:r>
              <w:rPr>
                <w:noProof/>
                <w:webHidden/>
              </w:rPr>
              <w:instrText xml:space="preserve"> PAGEREF _Toc88752724 \h </w:instrText>
            </w:r>
            <w:r>
              <w:rPr>
                <w:noProof/>
                <w:webHidden/>
              </w:rPr>
            </w:r>
            <w:r>
              <w:rPr>
                <w:noProof/>
                <w:webHidden/>
              </w:rPr>
              <w:fldChar w:fldCharType="separate"/>
            </w:r>
            <w:r>
              <w:rPr>
                <w:noProof/>
                <w:webHidden/>
              </w:rPr>
              <w:t>9</w:t>
            </w:r>
            <w:r>
              <w:rPr>
                <w:noProof/>
                <w:webHidden/>
              </w:rPr>
              <w:fldChar w:fldCharType="end"/>
            </w:r>
          </w:hyperlink>
        </w:p>
        <w:p w14:paraId="6496E963" w14:textId="7AA1F443" w:rsidR="00844D5E" w:rsidRDefault="00844D5E">
          <w:pPr>
            <w:pStyle w:val="TOC2"/>
            <w:tabs>
              <w:tab w:val="right" w:leader="dot" w:pos="8774"/>
            </w:tabs>
            <w:rPr>
              <w:rFonts w:eastAsiaTheme="minorEastAsia"/>
              <w:noProof/>
            </w:rPr>
          </w:pPr>
          <w:hyperlink w:anchor="_Toc88752725" w:history="1">
            <w:r w:rsidRPr="00503C74">
              <w:rPr>
                <w:rStyle w:val="Hyperlink"/>
                <w:rFonts w:cstheme="minorHAnsi"/>
                <w:noProof/>
              </w:rPr>
              <w:t>C. Alternative C’s removal of VEG S2 cannot be justified based on the best available scientific information.</w:t>
            </w:r>
            <w:r>
              <w:rPr>
                <w:noProof/>
                <w:webHidden/>
              </w:rPr>
              <w:tab/>
            </w:r>
            <w:r>
              <w:rPr>
                <w:noProof/>
                <w:webHidden/>
              </w:rPr>
              <w:fldChar w:fldCharType="begin"/>
            </w:r>
            <w:r>
              <w:rPr>
                <w:noProof/>
                <w:webHidden/>
              </w:rPr>
              <w:instrText xml:space="preserve"> PAGEREF _Toc88752725 \h </w:instrText>
            </w:r>
            <w:r>
              <w:rPr>
                <w:noProof/>
                <w:webHidden/>
              </w:rPr>
            </w:r>
            <w:r>
              <w:rPr>
                <w:noProof/>
                <w:webHidden/>
              </w:rPr>
              <w:fldChar w:fldCharType="separate"/>
            </w:r>
            <w:r>
              <w:rPr>
                <w:noProof/>
                <w:webHidden/>
              </w:rPr>
              <w:t>10</w:t>
            </w:r>
            <w:r>
              <w:rPr>
                <w:noProof/>
                <w:webHidden/>
              </w:rPr>
              <w:fldChar w:fldCharType="end"/>
            </w:r>
          </w:hyperlink>
        </w:p>
        <w:p w14:paraId="0C845D33" w14:textId="1715C37B" w:rsidR="00844D5E" w:rsidRDefault="00844D5E">
          <w:pPr>
            <w:pStyle w:val="TOC2"/>
            <w:tabs>
              <w:tab w:val="right" w:leader="dot" w:pos="8774"/>
            </w:tabs>
            <w:rPr>
              <w:rFonts w:eastAsiaTheme="minorEastAsia"/>
              <w:noProof/>
            </w:rPr>
          </w:pPr>
          <w:hyperlink w:anchor="_Toc88752726" w:history="1">
            <w:r w:rsidRPr="00503C74">
              <w:rPr>
                <w:rStyle w:val="Hyperlink"/>
                <w:rFonts w:cstheme="minorHAnsi"/>
                <w:noProof/>
              </w:rPr>
              <w:t>D. Alternative C’s removal of VEG S6 and addition of VEG S7 cannot be adequately justified.</w:t>
            </w:r>
            <w:r>
              <w:rPr>
                <w:noProof/>
                <w:webHidden/>
              </w:rPr>
              <w:tab/>
            </w:r>
            <w:r>
              <w:rPr>
                <w:noProof/>
                <w:webHidden/>
              </w:rPr>
              <w:fldChar w:fldCharType="begin"/>
            </w:r>
            <w:r>
              <w:rPr>
                <w:noProof/>
                <w:webHidden/>
              </w:rPr>
              <w:instrText xml:space="preserve"> PAGEREF _Toc88752726 \h </w:instrText>
            </w:r>
            <w:r>
              <w:rPr>
                <w:noProof/>
                <w:webHidden/>
              </w:rPr>
            </w:r>
            <w:r>
              <w:rPr>
                <w:noProof/>
                <w:webHidden/>
              </w:rPr>
              <w:fldChar w:fldCharType="separate"/>
            </w:r>
            <w:r>
              <w:rPr>
                <w:noProof/>
                <w:webHidden/>
              </w:rPr>
              <w:t>11</w:t>
            </w:r>
            <w:r>
              <w:rPr>
                <w:noProof/>
                <w:webHidden/>
              </w:rPr>
              <w:fldChar w:fldCharType="end"/>
            </w:r>
          </w:hyperlink>
        </w:p>
        <w:p w14:paraId="4CF82606" w14:textId="15C05157" w:rsidR="00844D5E" w:rsidRDefault="00844D5E">
          <w:pPr>
            <w:pStyle w:val="TOC2"/>
            <w:tabs>
              <w:tab w:val="right" w:leader="dot" w:pos="8774"/>
            </w:tabs>
            <w:rPr>
              <w:rFonts w:eastAsiaTheme="minorEastAsia"/>
              <w:noProof/>
            </w:rPr>
          </w:pPr>
          <w:hyperlink w:anchor="_Toc88752727" w:history="1">
            <w:r w:rsidRPr="00503C74">
              <w:rPr>
                <w:rStyle w:val="Hyperlink"/>
                <w:noProof/>
              </w:rPr>
              <w:t>E. Alternative C’s removal of VEG S5 cannot be adequately justified.</w:t>
            </w:r>
            <w:r>
              <w:rPr>
                <w:noProof/>
                <w:webHidden/>
              </w:rPr>
              <w:tab/>
            </w:r>
            <w:r>
              <w:rPr>
                <w:noProof/>
                <w:webHidden/>
              </w:rPr>
              <w:fldChar w:fldCharType="begin"/>
            </w:r>
            <w:r>
              <w:rPr>
                <w:noProof/>
                <w:webHidden/>
              </w:rPr>
              <w:instrText xml:space="preserve"> PAGEREF _Toc88752727 \h </w:instrText>
            </w:r>
            <w:r>
              <w:rPr>
                <w:noProof/>
                <w:webHidden/>
              </w:rPr>
            </w:r>
            <w:r>
              <w:rPr>
                <w:noProof/>
                <w:webHidden/>
              </w:rPr>
              <w:fldChar w:fldCharType="separate"/>
            </w:r>
            <w:r>
              <w:rPr>
                <w:noProof/>
                <w:webHidden/>
              </w:rPr>
              <w:t>15</w:t>
            </w:r>
            <w:r>
              <w:rPr>
                <w:noProof/>
                <w:webHidden/>
              </w:rPr>
              <w:fldChar w:fldCharType="end"/>
            </w:r>
          </w:hyperlink>
        </w:p>
        <w:p w14:paraId="66D78C5E" w14:textId="2FB6E141" w:rsidR="00844D5E" w:rsidRDefault="00844D5E">
          <w:pPr>
            <w:pStyle w:val="TOC2"/>
            <w:tabs>
              <w:tab w:val="right" w:leader="dot" w:pos="8774"/>
            </w:tabs>
            <w:rPr>
              <w:rFonts w:eastAsiaTheme="minorEastAsia"/>
              <w:noProof/>
            </w:rPr>
          </w:pPr>
          <w:hyperlink w:anchor="_Toc88752728" w:history="1">
            <w:r w:rsidRPr="00503C74">
              <w:rPr>
                <w:rStyle w:val="Hyperlink"/>
                <w:noProof/>
              </w:rPr>
              <w:t>F. Alternative D’s inclusion of VEG S8 aligns with the Forest Service’s legal obligations to make decisions based on the best available scientific information.</w:t>
            </w:r>
            <w:r>
              <w:rPr>
                <w:noProof/>
                <w:webHidden/>
              </w:rPr>
              <w:tab/>
            </w:r>
            <w:r>
              <w:rPr>
                <w:noProof/>
                <w:webHidden/>
              </w:rPr>
              <w:fldChar w:fldCharType="begin"/>
            </w:r>
            <w:r>
              <w:rPr>
                <w:noProof/>
                <w:webHidden/>
              </w:rPr>
              <w:instrText xml:space="preserve"> PAGEREF _Toc88752728 \h </w:instrText>
            </w:r>
            <w:r>
              <w:rPr>
                <w:noProof/>
                <w:webHidden/>
              </w:rPr>
            </w:r>
            <w:r>
              <w:rPr>
                <w:noProof/>
                <w:webHidden/>
              </w:rPr>
              <w:fldChar w:fldCharType="separate"/>
            </w:r>
            <w:r>
              <w:rPr>
                <w:noProof/>
                <w:webHidden/>
              </w:rPr>
              <w:t>15</w:t>
            </w:r>
            <w:r>
              <w:rPr>
                <w:noProof/>
                <w:webHidden/>
              </w:rPr>
              <w:fldChar w:fldCharType="end"/>
            </w:r>
          </w:hyperlink>
        </w:p>
        <w:p w14:paraId="7630EA55" w14:textId="1E294E60" w:rsidR="00844D5E" w:rsidRDefault="00844D5E">
          <w:pPr>
            <w:pStyle w:val="TOC1"/>
            <w:tabs>
              <w:tab w:val="left" w:pos="660"/>
              <w:tab w:val="right" w:leader="dot" w:pos="8774"/>
            </w:tabs>
            <w:rPr>
              <w:rFonts w:eastAsiaTheme="minorEastAsia"/>
              <w:noProof/>
            </w:rPr>
          </w:pPr>
          <w:hyperlink w:anchor="_Toc88752729" w:history="1">
            <w:r w:rsidRPr="00503C74">
              <w:rPr>
                <w:rStyle w:val="Hyperlink"/>
                <w:noProof/>
              </w:rPr>
              <w:t>III.</w:t>
            </w:r>
            <w:r>
              <w:rPr>
                <w:rFonts w:eastAsiaTheme="minorEastAsia"/>
                <w:noProof/>
              </w:rPr>
              <w:tab/>
            </w:r>
            <w:r w:rsidRPr="00503C74">
              <w:rPr>
                <w:rStyle w:val="Hyperlink"/>
                <w:noProof/>
              </w:rPr>
              <w:t>The USFS’s reliance on forthcoming habitat maps requires further elaboration.</w:t>
            </w:r>
            <w:r>
              <w:rPr>
                <w:noProof/>
                <w:webHidden/>
              </w:rPr>
              <w:tab/>
            </w:r>
            <w:r>
              <w:rPr>
                <w:noProof/>
                <w:webHidden/>
              </w:rPr>
              <w:fldChar w:fldCharType="begin"/>
            </w:r>
            <w:r>
              <w:rPr>
                <w:noProof/>
                <w:webHidden/>
              </w:rPr>
              <w:instrText xml:space="preserve"> PAGEREF _Toc88752729 \h </w:instrText>
            </w:r>
            <w:r>
              <w:rPr>
                <w:noProof/>
                <w:webHidden/>
              </w:rPr>
            </w:r>
            <w:r>
              <w:rPr>
                <w:noProof/>
                <w:webHidden/>
              </w:rPr>
              <w:fldChar w:fldCharType="separate"/>
            </w:r>
            <w:r>
              <w:rPr>
                <w:noProof/>
                <w:webHidden/>
              </w:rPr>
              <w:t>16</w:t>
            </w:r>
            <w:r>
              <w:rPr>
                <w:noProof/>
                <w:webHidden/>
              </w:rPr>
              <w:fldChar w:fldCharType="end"/>
            </w:r>
          </w:hyperlink>
        </w:p>
        <w:p w14:paraId="4D9AA634" w14:textId="4094D249" w:rsidR="00844D5E" w:rsidRDefault="00844D5E">
          <w:pPr>
            <w:pStyle w:val="TOC1"/>
            <w:tabs>
              <w:tab w:val="left" w:pos="660"/>
              <w:tab w:val="right" w:leader="dot" w:pos="8774"/>
            </w:tabs>
            <w:rPr>
              <w:rFonts w:eastAsiaTheme="minorEastAsia"/>
              <w:noProof/>
            </w:rPr>
          </w:pPr>
          <w:hyperlink w:anchor="_Toc88752730" w:history="1">
            <w:r w:rsidRPr="00503C74">
              <w:rPr>
                <w:rStyle w:val="Hyperlink"/>
                <w:noProof/>
              </w:rPr>
              <w:t>IV.</w:t>
            </w:r>
            <w:r>
              <w:rPr>
                <w:rFonts w:eastAsiaTheme="minorEastAsia"/>
                <w:noProof/>
              </w:rPr>
              <w:tab/>
            </w:r>
            <w:r w:rsidRPr="00503C74">
              <w:rPr>
                <w:rStyle w:val="Hyperlink"/>
                <w:noProof/>
              </w:rPr>
              <w:t>Conclusion.</w:t>
            </w:r>
            <w:r>
              <w:rPr>
                <w:noProof/>
                <w:webHidden/>
              </w:rPr>
              <w:tab/>
            </w:r>
            <w:r>
              <w:rPr>
                <w:noProof/>
                <w:webHidden/>
              </w:rPr>
              <w:fldChar w:fldCharType="begin"/>
            </w:r>
            <w:r>
              <w:rPr>
                <w:noProof/>
                <w:webHidden/>
              </w:rPr>
              <w:instrText xml:space="preserve"> PAGEREF _Toc88752730 \h </w:instrText>
            </w:r>
            <w:r>
              <w:rPr>
                <w:noProof/>
                <w:webHidden/>
              </w:rPr>
            </w:r>
            <w:r>
              <w:rPr>
                <w:noProof/>
                <w:webHidden/>
              </w:rPr>
              <w:fldChar w:fldCharType="separate"/>
            </w:r>
            <w:r>
              <w:rPr>
                <w:noProof/>
                <w:webHidden/>
              </w:rPr>
              <w:t>18</w:t>
            </w:r>
            <w:r>
              <w:rPr>
                <w:noProof/>
                <w:webHidden/>
              </w:rPr>
              <w:fldChar w:fldCharType="end"/>
            </w:r>
          </w:hyperlink>
        </w:p>
        <w:p w14:paraId="25FF104E" w14:textId="40E70550" w:rsidR="00E56B7B" w:rsidRDefault="00E56B7B">
          <w:r>
            <w:rPr>
              <w:b/>
              <w:bCs/>
              <w:noProof/>
            </w:rPr>
            <w:fldChar w:fldCharType="end"/>
          </w:r>
        </w:p>
      </w:sdtContent>
    </w:sdt>
    <w:p w14:paraId="1AD479DE" w14:textId="71FE24A4" w:rsidR="00E56B7B" w:rsidRDefault="00E56B7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769364C8" w14:textId="0E384B81" w:rsidR="00964065" w:rsidRDefault="00A75297" w:rsidP="002920A4">
      <w:pPr>
        <w:pStyle w:val="Heading1"/>
        <w:rPr>
          <w:rFonts w:eastAsia="Times New Roman"/>
        </w:rPr>
      </w:pPr>
      <w:bookmarkStart w:id="0" w:name="_Toc88752715"/>
      <w:r>
        <w:rPr>
          <w:rFonts w:eastAsia="Times New Roman"/>
        </w:rPr>
        <w:lastRenderedPageBreak/>
        <w:t xml:space="preserve">Comment on the </w:t>
      </w:r>
      <w:r w:rsidR="00C643FF">
        <w:rPr>
          <w:rFonts w:eastAsia="Times New Roman"/>
        </w:rPr>
        <w:t>Draft Environmental Impact Statement for the Land Management Plan Revision</w:t>
      </w:r>
      <w:r w:rsidR="00DF77AE">
        <w:rPr>
          <w:rFonts w:eastAsia="Times New Roman"/>
        </w:rPr>
        <w:t>: Grand Mesa, Uncompahgre, and Gunnison National Forests</w:t>
      </w:r>
      <w:bookmarkEnd w:id="0"/>
    </w:p>
    <w:p w14:paraId="5B8D64FB" w14:textId="73CA28DF" w:rsidR="00CE09AC" w:rsidRDefault="00CE09AC" w:rsidP="0068442B">
      <w:pPr>
        <w:pStyle w:val="TLPCDMCACommentParagaraphStyle"/>
        <w:rPr>
          <w:rFonts w:eastAsia="Times New Roman"/>
        </w:rPr>
      </w:pPr>
      <w:r>
        <w:rPr>
          <w:rFonts w:eastAsia="Times New Roman"/>
        </w:rPr>
        <w:t>The U.S. Forest Service</w:t>
      </w:r>
      <w:r w:rsidR="005D0EEA">
        <w:rPr>
          <w:rFonts w:eastAsia="Times New Roman"/>
        </w:rPr>
        <w:t xml:space="preserve"> (“USFS”)</w:t>
      </w:r>
      <w:r>
        <w:rPr>
          <w:rFonts w:eastAsia="Times New Roman"/>
        </w:rPr>
        <w:t xml:space="preserve"> has published its Draft Land Use Plan and accompanying Draft Environmental Impact Statement</w:t>
      </w:r>
      <w:r w:rsidR="005D0EEA">
        <w:rPr>
          <w:rFonts w:eastAsia="Times New Roman"/>
        </w:rPr>
        <w:t xml:space="preserve"> (“DEIS”)</w:t>
      </w:r>
      <w:r>
        <w:rPr>
          <w:rFonts w:eastAsia="Times New Roman"/>
        </w:rPr>
        <w:t xml:space="preserve"> on the management of the Grand Mesa, Uncompahgre, and Gunnison National Forests (“GMUG”) and has solicited public comments on its proposals.</w:t>
      </w:r>
      <w:r w:rsidR="006121AD">
        <w:rPr>
          <w:rFonts w:eastAsia="Times New Roman"/>
        </w:rPr>
        <w:t xml:space="preserve"> We submit the following comment to share our concerns with </w:t>
      </w:r>
      <w:r w:rsidR="00897129">
        <w:rPr>
          <w:rFonts w:eastAsia="Times New Roman"/>
        </w:rPr>
        <w:t>several of the proposals made under these drafts, with our particular focus on the habitat of the Canada lynx within the GMUG.</w:t>
      </w:r>
      <w:r w:rsidR="000A585C">
        <w:rPr>
          <w:rStyle w:val="FootnoteReference"/>
          <w:rFonts w:eastAsia="Times New Roman"/>
        </w:rPr>
        <w:footnoteReference w:id="1"/>
      </w:r>
    </w:p>
    <w:p w14:paraId="343B9847" w14:textId="47DC8D26" w:rsidR="005D0EEA" w:rsidRPr="0068442B" w:rsidRDefault="005D0EEA" w:rsidP="0068442B">
      <w:pPr>
        <w:pStyle w:val="TLPCDMCACommentParagaraphStyle"/>
        <w:rPr>
          <w:rFonts w:eastAsia="Times New Roman"/>
        </w:rPr>
      </w:pPr>
      <w:r>
        <w:rPr>
          <w:rFonts w:eastAsia="Times New Roman"/>
        </w:rPr>
        <w:t>The USFS has provided 4 alternatives (</w:t>
      </w:r>
      <w:r w:rsidR="00403CBE">
        <w:rPr>
          <w:rFonts w:eastAsia="Times New Roman"/>
        </w:rPr>
        <w:t>three</w:t>
      </w:r>
      <w:r>
        <w:rPr>
          <w:rFonts w:eastAsia="Times New Roman"/>
        </w:rPr>
        <w:t xml:space="preserve"> “action alternatives</w:t>
      </w:r>
      <w:r w:rsidR="00403CBE">
        <w:rPr>
          <w:rFonts w:eastAsia="Times New Roman"/>
        </w:rPr>
        <w:t>”</w:t>
      </w:r>
      <w:r>
        <w:rPr>
          <w:rFonts w:eastAsia="Times New Roman"/>
        </w:rPr>
        <w:t xml:space="preserve"> and one “no action” alternative) for consideration, and </w:t>
      </w:r>
      <w:r w:rsidR="00403CBE">
        <w:rPr>
          <w:rFonts w:eastAsia="Times New Roman"/>
        </w:rPr>
        <w:t>this comment focuses mainly on the proposals of Alternative C. Alternative C makes aggressive changes to the vegetation management standards laid out by the Southern Rockies Lynx Amendment</w:t>
      </w:r>
      <w:r w:rsidR="00FE152B">
        <w:rPr>
          <w:rFonts w:eastAsia="Times New Roman"/>
        </w:rPr>
        <w:t xml:space="preserve"> (“SRLA”) and we believe that the bases for these changes fall short of the </w:t>
      </w:r>
      <w:r w:rsidR="00C22867">
        <w:rPr>
          <w:rFonts w:eastAsia="Times New Roman"/>
        </w:rPr>
        <w:t>standard of “best available scientific evidence” that the USFS is mandated to meet.</w:t>
      </w:r>
    </w:p>
    <w:p w14:paraId="25507887" w14:textId="56B8DFEE" w:rsidR="00BF7B88" w:rsidRDefault="00964065" w:rsidP="007B1E53">
      <w:pPr>
        <w:pStyle w:val="TLPCDMCACommentParagaraphStyle"/>
        <w:rPr>
          <w:rFonts w:eastAsia="Times New Roman"/>
        </w:rPr>
      </w:pPr>
      <w:r>
        <w:rPr>
          <w:rFonts w:eastAsia="Times New Roman"/>
        </w:rPr>
        <w:t xml:space="preserve">In </w:t>
      </w:r>
      <w:r w:rsidR="00420BEF">
        <w:rPr>
          <w:rFonts w:eastAsia="Times New Roman"/>
        </w:rPr>
        <w:t>preparation of this comment</w:t>
      </w:r>
      <w:r w:rsidR="00F00133">
        <w:rPr>
          <w:rFonts w:eastAsia="Times New Roman"/>
        </w:rPr>
        <w:t>, the documents</w:t>
      </w:r>
      <w:r>
        <w:rPr>
          <w:rFonts w:eastAsia="Times New Roman"/>
        </w:rPr>
        <w:t xml:space="preserve"> we have reviewed</w:t>
      </w:r>
      <w:r w:rsidR="00F00133">
        <w:rPr>
          <w:rFonts w:eastAsia="Times New Roman"/>
        </w:rPr>
        <w:t xml:space="preserve"> include</w:t>
      </w:r>
      <w:r>
        <w:rPr>
          <w:rFonts w:eastAsia="Times New Roman"/>
        </w:rPr>
        <w:t>: (i) The 1999 Lynx Science Report</w:t>
      </w:r>
      <w:r>
        <w:rPr>
          <w:rFonts w:eastAsia="Times New Roman"/>
          <w:vertAlign w:val="superscript"/>
        </w:rPr>
        <w:footnoteReference w:id="2"/>
      </w:r>
      <w:r>
        <w:rPr>
          <w:rFonts w:eastAsia="Times New Roman"/>
        </w:rPr>
        <w:t xml:space="preserve"> (“Science Report”); (ii) The 2000 Press Release Accompanying the Decision to List the Canada Lynx as Threatened</w:t>
      </w:r>
      <w:r>
        <w:rPr>
          <w:rFonts w:eastAsia="Times New Roman"/>
          <w:vertAlign w:val="superscript"/>
        </w:rPr>
        <w:footnoteReference w:id="3"/>
      </w:r>
      <w:r>
        <w:rPr>
          <w:rFonts w:eastAsia="Times New Roman"/>
        </w:rPr>
        <w:t xml:space="preserve"> (“Press Release”); (iii) The Lynx Management Direction</w:t>
      </w:r>
      <w:r>
        <w:rPr>
          <w:rFonts w:eastAsia="Times New Roman"/>
          <w:vertAlign w:val="superscript"/>
        </w:rPr>
        <w:footnoteReference w:id="4"/>
      </w:r>
      <w:r>
        <w:rPr>
          <w:rFonts w:eastAsia="Times New Roman"/>
        </w:rPr>
        <w:t xml:space="preserve"> (“Southern Rockies Lynx Amendment” or “SRLA”) and its accompanying Record of Decision</w:t>
      </w:r>
      <w:r>
        <w:rPr>
          <w:rFonts w:eastAsia="Times New Roman"/>
          <w:vertAlign w:val="superscript"/>
        </w:rPr>
        <w:footnoteReference w:id="5"/>
      </w:r>
      <w:r>
        <w:rPr>
          <w:rFonts w:eastAsia="Times New Roman"/>
        </w:rPr>
        <w:t xml:space="preserve"> (“SRLA ROD”); (iv) The Lynx Conservation Assessment and Strategy</w:t>
      </w:r>
      <w:r>
        <w:rPr>
          <w:rFonts w:eastAsia="Times New Roman"/>
          <w:vertAlign w:val="superscript"/>
        </w:rPr>
        <w:footnoteReference w:id="6"/>
      </w:r>
      <w:r>
        <w:rPr>
          <w:rFonts w:eastAsia="Times New Roman"/>
        </w:rPr>
        <w:t xml:space="preserve"> (“LCAS”); (v) The GMUG Draft Land Management Plan</w:t>
      </w:r>
      <w:r>
        <w:rPr>
          <w:rFonts w:eastAsia="Times New Roman"/>
          <w:vertAlign w:val="superscript"/>
        </w:rPr>
        <w:footnoteReference w:id="7"/>
      </w:r>
      <w:r>
        <w:rPr>
          <w:rFonts w:eastAsia="Times New Roman"/>
        </w:rPr>
        <w:t>; and (vi) The GMUG Draft Environmental Statement</w:t>
      </w:r>
      <w:r>
        <w:rPr>
          <w:rFonts w:eastAsia="Times New Roman"/>
          <w:vertAlign w:val="superscript"/>
        </w:rPr>
        <w:footnoteReference w:id="8"/>
      </w:r>
      <w:r>
        <w:rPr>
          <w:rFonts w:eastAsia="Times New Roman"/>
        </w:rPr>
        <w:t xml:space="preserve"> (</w:t>
      </w:r>
      <w:r w:rsidR="00F00133">
        <w:rPr>
          <w:rFonts w:eastAsia="Times New Roman"/>
        </w:rPr>
        <w:t xml:space="preserve">“GMUG DEIS” or </w:t>
      </w:r>
      <w:r>
        <w:rPr>
          <w:rFonts w:eastAsia="Times New Roman"/>
        </w:rPr>
        <w:t xml:space="preserve">“DEIS”).  Reference is made throughout this comment to the above materials as well as legal authority affecting each of the above.  </w:t>
      </w:r>
    </w:p>
    <w:p w14:paraId="334A3D16" w14:textId="2F35D121" w:rsidR="00D77148" w:rsidRPr="00BF7B88" w:rsidRDefault="00E64471" w:rsidP="00C772A1">
      <w:pPr>
        <w:pStyle w:val="Heading1"/>
        <w:numPr>
          <w:ilvl w:val="0"/>
          <w:numId w:val="4"/>
        </w:numPr>
        <w:rPr>
          <w:rFonts w:eastAsia="Times New Roman"/>
        </w:rPr>
      </w:pPr>
      <w:bookmarkStart w:id="1" w:name="_Toc88752716"/>
      <w:r>
        <w:rPr>
          <w:rFonts w:eastAsia="Times New Roman"/>
        </w:rPr>
        <w:lastRenderedPageBreak/>
        <w:t>The Canada lynx is a listed threatened species that relies on the snowshoe hare.</w:t>
      </w:r>
      <w:bookmarkEnd w:id="1"/>
    </w:p>
    <w:p w14:paraId="42D3D778" w14:textId="4C97AE11" w:rsidR="00D77148" w:rsidRPr="0068442B" w:rsidRDefault="00D77148" w:rsidP="0068442B">
      <w:pPr>
        <w:pStyle w:val="TLPCDMCACommentParagaraphStyle"/>
        <w:rPr>
          <w:rFonts w:eastAsia="Times New Roman"/>
        </w:rPr>
      </w:pPr>
      <w:r>
        <w:rPr>
          <w:rFonts w:eastAsia="Times New Roman"/>
        </w:rPr>
        <w:t>On March 21, 2000, the U.S. Fish and Wildlife Service (“FWS”) issued a Press Release accompanying the decision to list the Canada Lynx as threatened under the Endangered Species Act. In this Press Release the FWS recognized that the threat to the Canada Lynx was, “the lack of guidance to conserve the species in current Federal land management plans.”</w:t>
      </w:r>
      <w:r>
        <w:rPr>
          <w:rFonts w:eastAsia="Times New Roman"/>
          <w:vertAlign w:val="superscript"/>
        </w:rPr>
        <w:footnoteReference w:id="9"/>
      </w:r>
      <w:r>
        <w:rPr>
          <w:rFonts w:eastAsia="Times New Roman"/>
        </w:rPr>
        <w:t xml:space="preserve"> The FWS further explained that the lynx occurs predominantly in federal lands - especially in the West</w:t>
      </w:r>
      <w:r w:rsidR="002920A4">
        <w:rPr>
          <w:rFonts w:eastAsia="Times New Roman"/>
        </w:rPr>
        <w:t>.</w:t>
      </w:r>
      <w:r>
        <w:rPr>
          <w:rFonts w:eastAsia="Times New Roman"/>
          <w:vertAlign w:val="superscript"/>
        </w:rPr>
        <w:footnoteReference w:id="10"/>
      </w:r>
      <w:r>
        <w:rPr>
          <w:rFonts w:eastAsia="Times New Roman"/>
        </w:rPr>
        <w:t xml:space="preserve"> As the only lynx in North America, the decision by the FWS to list the Canada Lynx as threatened reflected a guiding principle of ensuring the conservation of diverse wildlife species. This Press Release recognized the importance of the </w:t>
      </w:r>
      <w:r w:rsidR="00007B68">
        <w:rPr>
          <w:rFonts w:eastAsia="Times New Roman"/>
        </w:rPr>
        <w:t>s</w:t>
      </w:r>
      <w:r>
        <w:rPr>
          <w:rFonts w:eastAsia="Times New Roman"/>
        </w:rPr>
        <w:t xml:space="preserve">nowshoe </w:t>
      </w:r>
      <w:r w:rsidR="00007B68">
        <w:rPr>
          <w:rFonts w:eastAsia="Times New Roman"/>
        </w:rPr>
        <w:t>h</w:t>
      </w:r>
      <w:r>
        <w:rPr>
          <w:rFonts w:eastAsia="Times New Roman"/>
        </w:rPr>
        <w:t>are to the long-term success of the Canada Lynx and said that its decision came in light of a Science Report completed by the U.S. Forest Service</w:t>
      </w:r>
      <w:r>
        <w:rPr>
          <w:rFonts w:eastAsia="Times New Roman"/>
          <w:vertAlign w:val="superscript"/>
        </w:rPr>
        <w:footnoteReference w:id="11"/>
      </w:r>
      <w:r>
        <w:rPr>
          <w:rFonts w:eastAsia="Times New Roman"/>
        </w:rPr>
        <w:t>.</w:t>
      </w:r>
    </w:p>
    <w:p w14:paraId="55580913" w14:textId="52995A56" w:rsidR="00971BFC" w:rsidRDefault="00D77148" w:rsidP="006A1234">
      <w:pPr>
        <w:pStyle w:val="TLPCDMCACommentParagaraphStyle"/>
        <w:rPr>
          <w:rFonts w:eastAsia="Times New Roman"/>
        </w:rPr>
      </w:pPr>
      <w:r>
        <w:rPr>
          <w:rFonts w:eastAsia="Times New Roman"/>
        </w:rPr>
        <w:t>The Science Report completed in 1999 was a scientific review of the ecology and conservation of the Canada Lynx population</w:t>
      </w:r>
      <w:r w:rsidR="002920A4">
        <w:rPr>
          <w:rFonts w:eastAsia="Times New Roman"/>
        </w:rPr>
        <w:t>.</w:t>
      </w:r>
      <w:r>
        <w:rPr>
          <w:rFonts w:eastAsia="Times New Roman"/>
          <w:vertAlign w:val="superscript"/>
        </w:rPr>
        <w:footnoteReference w:id="12"/>
      </w:r>
      <w:r>
        <w:rPr>
          <w:rFonts w:eastAsia="Times New Roman"/>
        </w:rPr>
        <w:t xml:space="preserve"> While conceding that the habitat of the Canada Lynx is naturally fragmented, the Science Report argues that while, “some have argued that the negative effects of forest fragmentation are ameliorated in areas like the Rocky Mountains because of naturally patchy landscape, [this] contention is unlikely to be true given that, by definition, fragmentation disrupts the natural landscape pattern regardless of the scale of the undisturbed pattern.”</w:t>
      </w:r>
      <w:r>
        <w:rPr>
          <w:rFonts w:eastAsia="Times New Roman"/>
          <w:vertAlign w:val="superscript"/>
        </w:rPr>
        <w:footnoteReference w:id="13"/>
      </w:r>
      <w:r>
        <w:rPr>
          <w:rFonts w:eastAsia="Times New Roman"/>
        </w:rPr>
        <w:t xml:space="preserve"> This argument suggests that any subsequent planning that further fragments the habitat of the Canada Lynx is against the goal of conservation. The Report goes on to identify four main concerns in fragmented habitat of the lynx, specifically saying that the reduction of patch size and area of suitable forest and the </w:t>
      </w:r>
      <w:r w:rsidR="006A1234">
        <w:rPr>
          <w:rFonts w:eastAsia="Times New Roman"/>
        </w:rPr>
        <w:t>s</w:t>
      </w:r>
      <w:r>
        <w:rPr>
          <w:rFonts w:eastAsia="Times New Roman"/>
        </w:rPr>
        <w:t xml:space="preserve">nowshoe </w:t>
      </w:r>
      <w:r w:rsidR="006A1234">
        <w:rPr>
          <w:rFonts w:eastAsia="Times New Roman"/>
        </w:rPr>
        <w:t>h</w:t>
      </w:r>
      <w:r>
        <w:rPr>
          <w:rFonts w:eastAsia="Times New Roman"/>
        </w:rPr>
        <w:t>are habitat is a primary concern</w:t>
      </w:r>
      <w:r>
        <w:rPr>
          <w:rFonts w:eastAsia="Times New Roman"/>
          <w:vertAlign w:val="superscript"/>
        </w:rPr>
        <w:footnoteReference w:id="14"/>
      </w:r>
      <w:r>
        <w:rPr>
          <w:rFonts w:eastAsia="Times New Roman"/>
        </w:rPr>
        <w:t>.</w:t>
      </w:r>
    </w:p>
    <w:p w14:paraId="04BEF5BB" w14:textId="1DA57BE6" w:rsidR="00B72B66" w:rsidRPr="0068442B" w:rsidRDefault="00964065" w:rsidP="0068442B">
      <w:pPr>
        <w:pStyle w:val="TLPCDMCACommentParagaraphStyle"/>
        <w:rPr>
          <w:rFonts w:eastAsia="Times New Roman"/>
        </w:rPr>
      </w:pPr>
      <w:r>
        <w:rPr>
          <w:rFonts w:eastAsia="Times New Roman"/>
        </w:rPr>
        <w:t xml:space="preserve">The DEIS places reliance on both the SRLA ROD and the LCAS in its assessment of the environmental impacts on the Canada Lynx. Accordingly, we have reviewed both the SRLA ROD and LCAS </w:t>
      </w:r>
      <w:r w:rsidR="00E56155">
        <w:rPr>
          <w:rFonts w:eastAsia="Times New Roman"/>
        </w:rPr>
        <w:t xml:space="preserve">as well as other sources </w:t>
      </w:r>
      <w:r>
        <w:rPr>
          <w:rFonts w:eastAsia="Times New Roman"/>
        </w:rPr>
        <w:t xml:space="preserve">for their scientific </w:t>
      </w:r>
      <w:r w:rsidR="00420BEF">
        <w:rPr>
          <w:rFonts w:eastAsia="Times New Roman"/>
        </w:rPr>
        <w:t>information</w:t>
      </w:r>
      <w:r>
        <w:rPr>
          <w:rFonts w:eastAsia="Times New Roman"/>
        </w:rPr>
        <w:t xml:space="preserve"> regarding the </w:t>
      </w:r>
      <w:r>
        <w:rPr>
          <w:rFonts w:eastAsia="Times New Roman"/>
        </w:rPr>
        <w:lastRenderedPageBreak/>
        <w:t>potential effects on the Canada Lynx population. Both the LCAS</w:t>
      </w:r>
      <w:r>
        <w:rPr>
          <w:rFonts w:eastAsia="Times New Roman"/>
          <w:vertAlign w:val="superscript"/>
        </w:rPr>
        <w:footnoteReference w:id="15"/>
      </w:r>
      <w:r>
        <w:rPr>
          <w:rFonts w:eastAsia="Times New Roman"/>
        </w:rPr>
        <w:t xml:space="preserve"> and the SRLA ROD</w:t>
      </w:r>
      <w:r>
        <w:rPr>
          <w:rFonts w:eastAsia="Times New Roman"/>
          <w:vertAlign w:val="superscript"/>
        </w:rPr>
        <w:footnoteReference w:id="16"/>
      </w:r>
      <w:r>
        <w:rPr>
          <w:rFonts w:eastAsia="Times New Roman"/>
        </w:rPr>
        <w:t xml:space="preserve"> recognize the importance of the </w:t>
      </w:r>
      <w:r w:rsidR="002920A4">
        <w:rPr>
          <w:rFonts w:eastAsia="Times New Roman"/>
        </w:rPr>
        <w:t>s</w:t>
      </w:r>
      <w:r>
        <w:rPr>
          <w:rFonts w:eastAsia="Times New Roman"/>
        </w:rPr>
        <w:t xml:space="preserve">nowshoe </w:t>
      </w:r>
      <w:r w:rsidR="002920A4">
        <w:rPr>
          <w:rFonts w:eastAsia="Times New Roman"/>
        </w:rPr>
        <w:t>h</w:t>
      </w:r>
      <w:r>
        <w:rPr>
          <w:rFonts w:eastAsia="Times New Roman"/>
        </w:rPr>
        <w:t>are as the primary prey of the lynx. The SRLA ROD specifically states that “Vegetation management can directly affect lynx habitat particularly by altering habitat for its primary prey, the Snowshoe Hare. The amount and quality of Snowshoe Hare habitat, especially winter habitat, directly affects lynx survival, reproduction, and population persistence.”</w:t>
      </w:r>
      <w:r>
        <w:rPr>
          <w:rFonts w:eastAsia="Times New Roman"/>
          <w:vertAlign w:val="superscript"/>
        </w:rPr>
        <w:footnoteReference w:id="17"/>
      </w:r>
      <w:r>
        <w:rPr>
          <w:rFonts w:eastAsia="Times New Roman"/>
        </w:rPr>
        <w:t xml:space="preserve"> Similarly, the LCAS identifies timber and vegetation management as something that directly impacts the Canada Lynx by altering the </w:t>
      </w:r>
      <w:r w:rsidR="008A61BB">
        <w:rPr>
          <w:rFonts w:eastAsia="Times New Roman"/>
        </w:rPr>
        <w:t>s</w:t>
      </w:r>
      <w:r>
        <w:rPr>
          <w:rFonts w:eastAsia="Times New Roman"/>
        </w:rPr>
        <w:t xml:space="preserve">nowshoe </w:t>
      </w:r>
      <w:r w:rsidR="008A61BB">
        <w:rPr>
          <w:rFonts w:eastAsia="Times New Roman"/>
        </w:rPr>
        <w:t>h</w:t>
      </w:r>
      <w:r>
        <w:rPr>
          <w:rFonts w:eastAsia="Times New Roman"/>
        </w:rPr>
        <w:t>are habitat</w:t>
      </w:r>
      <w:r w:rsidR="008A61BB">
        <w:rPr>
          <w:rFonts w:eastAsia="Times New Roman"/>
        </w:rPr>
        <w:t>.</w:t>
      </w:r>
      <w:r>
        <w:rPr>
          <w:rFonts w:eastAsia="Times New Roman"/>
          <w:vertAlign w:val="superscript"/>
        </w:rPr>
        <w:footnoteReference w:id="18"/>
      </w:r>
    </w:p>
    <w:p w14:paraId="0B25ED56" w14:textId="04907234" w:rsidR="00964065" w:rsidRDefault="00964065" w:rsidP="007452F1">
      <w:pPr>
        <w:pStyle w:val="TLPCDMCACommentParagaraphStyle"/>
        <w:rPr>
          <w:rFonts w:eastAsia="Times New Roman"/>
        </w:rPr>
      </w:pPr>
      <w:r>
        <w:rPr>
          <w:rFonts w:eastAsia="Times New Roman"/>
        </w:rPr>
        <w:t xml:space="preserve">Like the 1999 Science Report and 2000 Decision, these documents </w:t>
      </w:r>
      <w:r w:rsidR="00420BEF">
        <w:rPr>
          <w:rFonts w:eastAsia="Times New Roman"/>
        </w:rPr>
        <w:t>are among</w:t>
      </w:r>
      <w:r>
        <w:rPr>
          <w:rFonts w:eastAsia="Times New Roman"/>
        </w:rPr>
        <w:t xml:space="preserve"> the best available scientific information at the time and continue to highlight the importance of the </w:t>
      </w:r>
      <w:r w:rsidR="00E530EB">
        <w:rPr>
          <w:rFonts w:eastAsia="Times New Roman"/>
        </w:rPr>
        <w:t>s</w:t>
      </w:r>
      <w:r>
        <w:rPr>
          <w:rFonts w:eastAsia="Times New Roman"/>
        </w:rPr>
        <w:t xml:space="preserve">nowshoe </w:t>
      </w:r>
      <w:r w:rsidR="00E530EB">
        <w:rPr>
          <w:rFonts w:eastAsia="Times New Roman"/>
        </w:rPr>
        <w:t>h</w:t>
      </w:r>
      <w:r>
        <w:rPr>
          <w:rFonts w:eastAsia="Times New Roman"/>
        </w:rPr>
        <w:t>are to the long-term survival of the Canada Lynx. The LCAS sheds some light on how vegetation standards affect the habitat of both the hare and the lynx. It states that, “the density of horizontal cover, snow conditions, and presence of boreal forest vegetation appear to be important attributes of Snowshoe Hare habitat,”</w:t>
      </w:r>
      <w:r>
        <w:rPr>
          <w:rFonts w:eastAsia="Times New Roman"/>
          <w:vertAlign w:val="superscript"/>
        </w:rPr>
        <w:footnoteReference w:id="19"/>
      </w:r>
      <w:r>
        <w:rPr>
          <w:rFonts w:eastAsia="Times New Roman"/>
        </w:rPr>
        <w:t xml:space="preserve"> and since the </w:t>
      </w:r>
      <w:r w:rsidR="00E530EB">
        <w:rPr>
          <w:rFonts w:eastAsia="Times New Roman"/>
        </w:rPr>
        <w:t>s</w:t>
      </w:r>
      <w:r>
        <w:rPr>
          <w:rFonts w:eastAsia="Times New Roman"/>
        </w:rPr>
        <w:t xml:space="preserve">nowshoe </w:t>
      </w:r>
      <w:r w:rsidR="00E530EB">
        <w:rPr>
          <w:rFonts w:eastAsia="Times New Roman"/>
        </w:rPr>
        <w:t>h</w:t>
      </w:r>
      <w:r>
        <w:rPr>
          <w:rFonts w:eastAsia="Times New Roman"/>
        </w:rPr>
        <w:t>are comprises between 35-97% of the Canada Lynx’s diet</w:t>
      </w:r>
      <w:r>
        <w:rPr>
          <w:rFonts w:eastAsia="Times New Roman"/>
          <w:vertAlign w:val="superscript"/>
        </w:rPr>
        <w:footnoteReference w:id="20"/>
      </w:r>
      <w:r>
        <w:rPr>
          <w:rFonts w:eastAsia="Times New Roman"/>
        </w:rPr>
        <w:t xml:space="preserve"> any factors that drive the </w:t>
      </w:r>
      <w:r w:rsidR="00E530EB">
        <w:rPr>
          <w:rFonts w:eastAsia="Times New Roman"/>
        </w:rPr>
        <w:t>s</w:t>
      </w:r>
      <w:r>
        <w:rPr>
          <w:rFonts w:eastAsia="Times New Roman"/>
        </w:rPr>
        <w:t xml:space="preserve">nowshoe </w:t>
      </w:r>
      <w:r w:rsidR="00E530EB">
        <w:rPr>
          <w:rFonts w:eastAsia="Times New Roman"/>
        </w:rPr>
        <w:t>h</w:t>
      </w:r>
      <w:r>
        <w:rPr>
          <w:rFonts w:eastAsia="Times New Roman"/>
        </w:rPr>
        <w:t>are out of a particular area can have deleterious effects on the Canada Lynx.</w:t>
      </w:r>
    </w:p>
    <w:p w14:paraId="490EC419" w14:textId="66219785" w:rsidR="00964065" w:rsidRPr="00A6740E" w:rsidRDefault="00D77148" w:rsidP="00A6740E">
      <w:pPr>
        <w:pStyle w:val="TLPCDMCACommentParagaraphStyle"/>
        <w:rPr>
          <w:rFonts w:eastAsia="Times New Roman"/>
        </w:rPr>
      </w:pPr>
      <w:r>
        <w:rPr>
          <w:rFonts w:eastAsia="Times New Roman"/>
        </w:rPr>
        <w:t xml:space="preserve">Both the Press Release and Science Report shed light on the decision to list the Canada Lynx as a threatened species under the Environmental Protection Act. Since both documents refer to the importance of the </w:t>
      </w:r>
      <w:r w:rsidR="00146CF4">
        <w:rPr>
          <w:rFonts w:eastAsia="Times New Roman"/>
        </w:rPr>
        <w:t>s</w:t>
      </w:r>
      <w:r>
        <w:rPr>
          <w:rFonts w:eastAsia="Times New Roman"/>
        </w:rPr>
        <w:t xml:space="preserve">nowshoe </w:t>
      </w:r>
      <w:r w:rsidR="00146CF4">
        <w:rPr>
          <w:rFonts w:eastAsia="Times New Roman"/>
        </w:rPr>
        <w:t>h</w:t>
      </w:r>
      <w:r>
        <w:rPr>
          <w:rFonts w:eastAsia="Times New Roman"/>
        </w:rPr>
        <w:t xml:space="preserve">are habitat, the success of the </w:t>
      </w:r>
      <w:r w:rsidR="00146CF4">
        <w:rPr>
          <w:rFonts w:eastAsia="Times New Roman"/>
        </w:rPr>
        <w:t>s</w:t>
      </w:r>
      <w:r>
        <w:rPr>
          <w:rFonts w:eastAsia="Times New Roman"/>
        </w:rPr>
        <w:t xml:space="preserve">nowshoe </w:t>
      </w:r>
      <w:r w:rsidR="00146CF4">
        <w:rPr>
          <w:rFonts w:eastAsia="Times New Roman"/>
        </w:rPr>
        <w:t>h</w:t>
      </w:r>
      <w:r>
        <w:rPr>
          <w:rFonts w:eastAsia="Times New Roman"/>
        </w:rPr>
        <w:t xml:space="preserve">are is crucially tied to the success of the Canada Lynx. As such, our discussion of the timber production and vegetation standards will focus on both the effects to the </w:t>
      </w:r>
      <w:r w:rsidR="00146CF4">
        <w:rPr>
          <w:rFonts w:eastAsia="Times New Roman"/>
        </w:rPr>
        <w:t>s</w:t>
      </w:r>
      <w:r>
        <w:rPr>
          <w:rFonts w:eastAsia="Times New Roman"/>
        </w:rPr>
        <w:t xml:space="preserve">nowshoe </w:t>
      </w:r>
      <w:r w:rsidR="00146CF4">
        <w:rPr>
          <w:rFonts w:eastAsia="Times New Roman"/>
        </w:rPr>
        <w:t>h</w:t>
      </w:r>
      <w:r>
        <w:rPr>
          <w:rFonts w:eastAsia="Times New Roman"/>
        </w:rPr>
        <w:t xml:space="preserve">are and the Canada Lynx. Further, since both the Press Release and the Science Report recognize that the Canada Lynx has its strongest habitats in the Western Mountain States, the environmental concerns of habitat </w:t>
      </w:r>
      <w:r w:rsidR="00FA2D8B">
        <w:rPr>
          <w:rFonts w:eastAsia="Times New Roman"/>
        </w:rPr>
        <w:t>conservation</w:t>
      </w:r>
      <w:r>
        <w:rPr>
          <w:rFonts w:eastAsia="Times New Roman"/>
        </w:rPr>
        <w:t xml:space="preserve"> are of utmost </w:t>
      </w:r>
      <w:r>
        <w:rPr>
          <w:rFonts w:eastAsia="Times New Roman"/>
        </w:rPr>
        <w:lastRenderedPageBreak/>
        <w:t>importance in National Forests in these states and should be weighed more heavily in a cost-benefit analysis.</w:t>
      </w:r>
    </w:p>
    <w:p w14:paraId="4BE9A048" w14:textId="751AA1AD" w:rsidR="00964065" w:rsidRPr="00C772A1" w:rsidRDefault="00E621B8" w:rsidP="00C772A1">
      <w:pPr>
        <w:pStyle w:val="Heading1"/>
        <w:numPr>
          <w:ilvl w:val="0"/>
          <w:numId w:val="4"/>
        </w:numPr>
      </w:pPr>
      <w:bookmarkStart w:id="2" w:name="_Toc88752717"/>
      <w:r w:rsidRPr="00C772A1">
        <w:t>Alternative C is not based on the best available scientific information and is therefore inv</w:t>
      </w:r>
      <w:r w:rsidR="0026725E" w:rsidRPr="00C772A1">
        <w:t>alid</w:t>
      </w:r>
      <w:r w:rsidR="00964065" w:rsidRPr="00C772A1">
        <w:t>.</w:t>
      </w:r>
      <w:bookmarkEnd w:id="2"/>
    </w:p>
    <w:p w14:paraId="49963862" w14:textId="2ACF6EE5" w:rsidR="00921F9A" w:rsidRPr="00921F9A" w:rsidRDefault="00921F9A" w:rsidP="00921F9A">
      <w:pPr>
        <w:pStyle w:val="TLPCDMCACommentParagaraphStyle"/>
        <w:rPr>
          <w:rFonts w:eastAsia="Times New Roman"/>
        </w:rPr>
      </w:pPr>
      <w:r>
        <w:rPr>
          <w:rFonts w:eastAsia="Times New Roman"/>
        </w:rPr>
        <w:t>Given the reliance the DEIS places on these documents in their analysis, the SRLA ROD and the LCAS need to be considered in the planning process. Specifically, they need to be considered as sources of the best available scientific information in compliance with the 2012 Planning Rule. Under this scope, Alternative C should not be considered as a valid alternative in the DEIS.</w:t>
      </w:r>
    </w:p>
    <w:p w14:paraId="3767E6DD" w14:textId="6678DAB3" w:rsidR="00D633C9" w:rsidRDefault="00964065" w:rsidP="00D633C9">
      <w:pPr>
        <w:pStyle w:val="TLPCDMCACommentParagaraphStyle"/>
        <w:rPr>
          <w:rFonts w:eastAsia="Times New Roman"/>
        </w:rPr>
      </w:pPr>
      <w:r>
        <w:rPr>
          <w:rFonts w:eastAsia="Times New Roman"/>
        </w:rPr>
        <w:t>In drafting an environmental impact statement, agencies are bound by certain legal restrictions</w:t>
      </w:r>
      <w:r w:rsidR="00EA5ECE">
        <w:rPr>
          <w:rFonts w:eastAsia="Times New Roman"/>
        </w:rPr>
        <w:t xml:space="preserve">, </w:t>
      </w:r>
      <w:r w:rsidR="00DC2305">
        <w:rPr>
          <w:rFonts w:eastAsia="Times New Roman"/>
        </w:rPr>
        <w:t>including the 2012 Planning Rule,</w:t>
      </w:r>
      <w:r w:rsidR="00F66096">
        <w:rPr>
          <w:rStyle w:val="FootnoteReference"/>
          <w:rFonts w:eastAsia="Times New Roman"/>
        </w:rPr>
        <w:footnoteReference w:id="21"/>
      </w:r>
      <w:r w:rsidR="00DC2305">
        <w:rPr>
          <w:rFonts w:eastAsia="Times New Roman"/>
        </w:rPr>
        <w:t xml:space="preserve"> Executive Order 12866,</w:t>
      </w:r>
      <w:r w:rsidR="00F66096">
        <w:rPr>
          <w:rStyle w:val="FootnoteReference"/>
          <w:rFonts w:eastAsia="Times New Roman"/>
        </w:rPr>
        <w:footnoteReference w:id="22"/>
      </w:r>
      <w:r w:rsidR="00DC2305">
        <w:rPr>
          <w:rFonts w:eastAsia="Times New Roman"/>
        </w:rPr>
        <w:t xml:space="preserve"> and the National Environmental Protection Act</w:t>
      </w:r>
      <w:r w:rsidR="00F66096">
        <w:rPr>
          <w:rFonts w:eastAsia="Times New Roman"/>
        </w:rPr>
        <w:t xml:space="preserve"> (“NEPA”)</w:t>
      </w:r>
      <w:r>
        <w:rPr>
          <w:rFonts w:eastAsia="Times New Roman"/>
        </w:rPr>
        <w:t>.</w:t>
      </w:r>
      <w:r w:rsidR="00F66096">
        <w:rPr>
          <w:rStyle w:val="FootnoteReference"/>
          <w:rFonts w:eastAsia="Times New Roman"/>
        </w:rPr>
        <w:footnoteReference w:id="23"/>
      </w:r>
      <w:r>
        <w:rPr>
          <w:rFonts w:eastAsia="Times New Roman"/>
        </w:rPr>
        <w:t xml:space="preserve"> </w:t>
      </w:r>
      <w:r w:rsidR="009C1200">
        <w:rPr>
          <w:rFonts w:eastAsia="Times New Roman"/>
        </w:rPr>
        <w:t>Each of these provisions prescribe certain standards under which the relevant agency is to conduct its review</w:t>
      </w:r>
      <w:r w:rsidR="002665C7">
        <w:rPr>
          <w:rFonts w:eastAsia="Times New Roman"/>
        </w:rPr>
        <w:t xml:space="preserve">, including setting expectations regarding the type of scientific information to be used in the </w:t>
      </w:r>
      <w:r w:rsidR="00C91CCA">
        <w:rPr>
          <w:rFonts w:eastAsia="Times New Roman"/>
        </w:rPr>
        <w:t>decision-making</w:t>
      </w:r>
      <w:r w:rsidR="002665C7">
        <w:rPr>
          <w:rFonts w:eastAsia="Times New Roman"/>
        </w:rPr>
        <w:t xml:space="preserve"> process. </w:t>
      </w:r>
      <w:r w:rsidR="00905179">
        <w:rPr>
          <w:rFonts w:eastAsia="Times New Roman"/>
        </w:rPr>
        <w:t xml:space="preserve">Because of its recommendations on vegetation management standards, </w:t>
      </w:r>
      <w:r>
        <w:rPr>
          <w:rFonts w:eastAsia="Times New Roman"/>
        </w:rPr>
        <w:t>Alternative C</w:t>
      </w:r>
      <w:r w:rsidR="00F66096">
        <w:rPr>
          <w:rFonts w:eastAsia="Times New Roman"/>
        </w:rPr>
        <w:t xml:space="preserve"> is in significant tension with each of these </w:t>
      </w:r>
      <w:r w:rsidR="00D811A2">
        <w:rPr>
          <w:rFonts w:eastAsia="Times New Roman"/>
        </w:rPr>
        <w:t xml:space="preserve">legal </w:t>
      </w:r>
      <w:r w:rsidR="00F66096">
        <w:rPr>
          <w:rFonts w:eastAsia="Times New Roman"/>
        </w:rPr>
        <w:t>obligations</w:t>
      </w:r>
      <w:r>
        <w:rPr>
          <w:rFonts w:eastAsia="Times New Roman"/>
        </w:rPr>
        <w:t>.</w:t>
      </w:r>
    </w:p>
    <w:p w14:paraId="75061A95" w14:textId="31F41347" w:rsidR="00964065" w:rsidRDefault="000D6457" w:rsidP="0026725E">
      <w:pPr>
        <w:pStyle w:val="Heading2"/>
        <w:rPr>
          <w:rFonts w:eastAsia="Times New Roman"/>
          <w:b w:val="0"/>
        </w:rPr>
      </w:pPr>
      <w:bookmarkStart w:id="3" w:name="_Toc88752718"/>
      <w:r>
        <w:rPr>
          <w:rFonts w:eastAsia="Times New Roman"/>
        </w:rPr>
        <w:t xml:space="preserve">A. </w:t>
      </w:r>
      <w:r w:rsidR="00964065">
        <w:rPr>
          <w:rFonts w:eastAsia="Times New Roman"/>
        </w:rPr>
        <w:t xml:space="preserve">The </w:t>
      </w:r>
      <w:r w:rsidR="0026725E">
        <w:rPr>
          <w:rFonts w:eastAsia="Times New Roman"/>
        </w:rPr>
        <w:t xml:space="preserve">USFS acknowledges that the </w:t>
      </w:r>
      <w:r w:rsidR="00964065">
        <w:rPr>
          <w:rFonts w:eastAsia="Times New Roman"/>
        </w:rPr>
        <w:t xml:space="preserve">LCAS </w:t>
      </w:r>
      <w:r w:rsidR="0026725E">
        <w:rPr>
          <w:rFonts w:eastAsia="Times New Roman"/>
          <w:b w:val="0"/>
        </w:rPr>
        <w:t xml:space="preserve">and </w:t>
      </w:r>
      <w:r w:rsidR="0026725E">
        <w:rPr>
          <w:rFonts w:eastAsia="Times New Roman"/>
        </w:rPr>
        <w:t xml:space="preserve">SRLA </w:t>
      </w:r>
      <w:r w:rsidR="00CA26FC">
        <w:rPr>
          <w:rFonts w:eastAsia="Times New Roman"/>
        </w:rPr>
        <w:t>r</w:t>
      </w:r>
      <w:r w:rsidR="00964065">
        <w:rPr>
          <w:rFonts w:eastAsia="Times New Roman"/>
        </w:rPr>
        <w:t xml:space="preserve">epresent the </w:t>
      </w:r>
      <w:r w:rsidR="00CA26FC">
        <w:rPr>
          <w:rFonts w:eastAsia="Times New Roman"/>
        </w:rPr>
        <w:t>b</w:t>
      </w:r>
      <w:r w:rsidR="00964065">
        <w:rPr>
          <w:rFonts w:eastAsia="Times New Roman"/>
        </w:rPr>
        <w:t xml:space="preserve">est </w:t>
      </w:r>
      <w:r w:rsidR="00CA26FC">
        <w:rPr>
          <w:rFonts w:eastAsia="Times New Roman"/>
        </w:rPr>
        <w:t>a</w:t>
      </w:r>
      <w:r w:rsidR="00964065">
        <w:rPr>
          <w:rFonts w:eastAsia="Times New Roman"/>
        </w:rPr>
        <w:t xml:space="preserve">vailable </w:t>
      </w:r>
      <w:r w:rsidR="00CA26FC">
        <w:rPr>
          <w:rFonts w:eastAsia="Times New Roman"/>
        </w:rPr>
        <w:t>s</w:t>
      </w:r>
      <w:r w:rsidR="00964065">
        <w:rPr>
          <w:rFonts w:eastAsia="Times New Roman"/>
        </w:rPr>
        <w:t>cientific Information.</w:t>
      </w:r>
      <w:bookmarkEnd w:id="3"/>
    </w:p>
    <w:p w14:paraId="0636B028" w14:textId="2292355C" w:rsidR="00964065" w:rsidRDefault="00964065" w:rsidP="00611E88">
      <w:pPr>
        <w:pStyle w:val="TLPCDMCACommentParagaraphStyle"/>
        <w:rPr>
          <w:rFonts w:eastAsia="Times New Roman"/>
        </w:rPr>
      </w:pPr>
      <w:r>
        <w:rPr>
          <w:rFonts w:eastAsia="Times New Roman"/>
        </w:rPr>
        <w:t>A critical analysis of the Alternatives requires compliance with legal doctrine. The particular issue with Alternative C is its failure to adequately consider the ‘best available scientific information’ as required by the 2012 Planning Rule</w:t>
      </w:r>
      <w:r w:rsidR="00A3287E">
        <w:rPr>
          <w:rFonts w:eastAsia="Times New Roman"/>
        </w:rPr>
        <w:t>.</w:t>
      </w:r>
      <w:r>
        <w:rPr>
          <w:rFonts w:eastAsia="Times New Roman"/>
          <w:vertAlign w:val="superscript"/>
        </w:rPr>
        <w:footnoteReference w:id="24"/>
      </w:r>
      <w:r>
        <w:rPr>
          <w:rFonts w:eastAsia="Times New Roman"/>
        </w:rPr>
        <w:t xml:space="preserve"> The LCAS itself recognizes that, “in response to the listing decision in 2000, the FWS and BLM entered into conservation agreements with the FWS. In these agreements, the agencies [themselves] acknowledged the LCAS as one of the sources of the best available scientific information to assist in conservation of the lynx.”</w:t>
      </w:r>
      <w:r>
        <w:rPr>
          <w:rFonts w:eastAsia="Times New Roman"/>
          <w:vertAlign w:val="superscript"/>
        </w:rPr>
        <w:footnoteReference w:id="25"/>
      </w:r>
      <w:r>
        <w:rPr>
          <w:rFonts w:eastAsia="Times New Roman"/>
        </w:rPr>
        <w:t xml:space="preserve"> The LCAS goes on to explain that “new research has been conducted throughout the range of the lynx and the body of scientific literature has expanded substantially,” and that “this revised LCAS provides an updated synthesis of </w:t>
      </w:r>
      <w:r>
        <w:rPr>
          <w:rFonts w:eastAsia="Times New Roman"/>
        </w:rPr>
        <w:lastRenderedPageBreak/>
        <w:t>the best available scientific information about lynx ecology and responses to management.”</w:t>
      </w:r>
      <w:r>
        <w:rPr>
          <w:rFonts w:eastAsia="Times New Roman"/>
          <w:vertAlign w:val="superscript"/>
        </w:rPr>
        <w:footnoteReference w:id="26"/>
      </w:r>
    </w:p>
    <w:p w14:paraId="7B10A2E7" w14:textId="58E6BF23" w:rsidR="00964065" w:rsidRPr="00E91EBE" w:rsidRDefault="00E91EBE" w:rsidP="00E91EBE">
      <w:pPr>
        <w:pStyle w:val="TLPCDMCACommentParagaraphStyle"/>
        <w:rPr>
          <w:rFonts w:ascii="Times New Roman" w:eastAsia="Times New Roman" w:hAnsi="Times New Roman" w:cs="Times New Roman"/>
        </w:rPr>
      </w:pPr>
      <w:r>
        <w:t>“A lynx biology team (Forest Service and Colorado Parks and Wildlife biologists/scientists) is currently applying lynx tracking data to update habitat mapping for the Southern Rockies. During this same period, we’ve experienced a widespread spruce bark beetle epidemic affecting lynx habitat conditions. Our analysis reflects our consideration of ongoing science of lynx conservation and management.”</w:t>
      </w:r>
      <w:r>
        <w:rPr>
          <w:rStyle w:val="FootnoteReference"/>
        </w:rPr>
        <w:footnoteReference w:id="27"/>
      </w:r>
    </w:p>
    <w:p w14:paraId="66692159" w14:textId="24E2E11B" w:rsidR="00D633C9" w:rsidRPr="003A2F71" w:rsidRDefault="00964065" w:rsidP="00D633C9">
      <w:pPr>
        <w:pStyle w:val="TLPCDMCACommentParagaraphStyle"/>
        <w:rPr>
          <w:rFonts w:eastAsia="Times New Roman"/>
        </w:rPr>
      </w:pPr>
      <w:r>
        <w:rPr>
          <w:rFonts w:eastAsia="Times New Roman"/>
        </w:rPr>
        <w:t>When the LCAS was revised, it clearly represented one of the main sources of the best available scientific information at that time, and both the FWS and BLM recognized such. The DEIS similarly calls out the LCAS as part of the best available scientific information in stating that, “collectively, the Science Report, the Lynx Conservation Assessment and Strategy, other relevant science, and locally specific information provide the best available scientific information.”</w:t>
      </w:r>
      <w:r>
        <w:rPr>
          <w:rFonts w:eastAsia="Times New Roman"/>
          <w:vertAlign w:val="superscript"/>
        </w:rPr>
        <w:footnoteReference w:id="28"/>
      </w:r>
      <w:r>
        <w:rPr>
          <w:rFonts w:eastAsia="Times New Roman"/>
        </w:rPr>
        <w:t xml:space="preserve"> Since the DEIS similarly recognizes the LCAS as one of the main sources of the best available scientific information, it is required to consider the LCAS under the 2012 Planning Rule.</w:t>
      </w:r>
    </w:p>
    <w:p w14:paraId="00472EC3" w14:textId="4E10643D" w:rsidR="00964065" w:rsidRDefault="000D6457" w:rsidP="000169C0">
      <w:pPr>
        <w:pStyle w:val="Heading2"/>
        <w:rPr>
          <w:rFonts w:eastAsia="Times New Roman"/>
        </w:rPr>
      </w:pPr>
      <w:bookmarkStart w:id="4" w:name="_Toc88752719"/>
      <w:r>
        <w:rPr>
          <w:rFonts w:eastAsia="Times New Roman"/>
        </w:rPr>
        <w:t xml:space="preserve">B. </w:t>
      </w:r>
      <w:r w:rsidR="00964065">
        <w:rPr>
          <w:rFonts w:eastAsia="Times New Roman"/>
        </w:rPr>
        <w:t xml:space="preserve">Alternative C is </w:t>
      </w:r>
      <w:r w:rsidR="00CA26FC">
        <w:rPr>
          <w:rFonts w:eastAsia="Times New Roman"/>
        </w:rPr>
        <w:t>n</w:t>
      </w:r>
      <w:r w:rsidR="00964065">
        <w:rPr>
          <w:rFonts w:eastAsia="Times New Roman"/>
        </w:rPr>
        <w:t xml:space="preserve">ot in </w:t>
      </w:r>
      <w:r w:rsidR="00CA26FC">
        <w:rPr>
          <w:rFonts w:eastAsia="Times New Roman"/>
        </w:rPr>
        <w:t>c</w:t>
      </w:r>
      <w:r w:rsidR="00964065">
        <w:rPr>
          <w:rFonts w:eastAsia="Times New Roman"/>
        </w:rPr>
        <w:t>ompliance with the 2012 Planning Rule</w:t>
      </w:r>
      <w:r w:rsidR="006647A7">
        <w:rPr>
          <w:rFonts w:eastAsia="Times New Roman"/>
        </w:rPr>
        <w:t>,</w:t>
      </w:r>
      <w:r w:rsidR="00964065">
        <w:rPr>
          <w:rFonts w:eastAsia="Times New Roman"/>
        </w:rPr>
        <w:t xml:space="preserve"> Executive Order 12866</w:t>
      </w:r>
      <w:r w:rsidR="006647A7">
        <w:rPr>
          <w:rFonts w:eastAsia="Times New Roman"/>
        </w:rPr>
        <w:t>, or NEPA</w:t>
      </w:r>
      <w:r w:rsidR="00964065">
        <w:rPr>
          <w:rFonts w:eastAsia="Times New Roman"/>
        </w:rPr>
        <w:t>.</w:t>
      </w:r>
      <w:bookmarkEnd w:id="4"/>
    </w:p>
    <w:p w14:paraId="697A8059" w14:textId="7D6560B4" w:rsidR="007B1E53" w:rsidRDefault="00522E18" w:rsidP="000D31E3">
      <w:pPr>
        <w:pStyle w:val="TLPCDMCACommentParagaraphStyle"/>
      </w:pPr>
      <w:r>
        <w:t xml:space="preserve">Alternative C is </w:t>
      </w:r>
      <w:r w:rsidR="00287697">
        <w:t>out of compliance with the legal requirements placed on Forest Service decision</w:t>
      </w:r>
      <w:r w:rsidR="006647A7">
        <w:t>-</w:t>
      </w:r>
      <w:r w:rsidR="00287697">
        <w:t>making.</w:t>
      </w:r>
      <w:r w:rsidR="00464188">
        <w:t xml:space="preserve"> Alternative C makes a number of changes to the SRLA’s prescribed vegetation management standards. </w:t>
      </w:r>
      <w:r w:rsidR="0080245C">
        <w:t>Alternative C would remove three SRLA standards and add one new standard. The three standards that Alternative C proposes to remove all continue to serve a critical conservation purpose, and their proposed removal conflicts with the Forest Service’s legal obligations to consider the best available scientific information.</w:t>
      </w:r>
    </w:p>
    <w:p w14:paraId="47F5BD74" w14:textId="3E1495A2" w:rsidR="00964065" w:rsidRDefault="006647A7" w:rsidP="00C85EDA">
      <w:pPr>
        <w:pStyle w:val="Heading3"/>
        <w:numPr>
          <w:ilvl w:val="0"/>
          <w:numId w:val="5"/>
        </w:numPr>
        <w:rPr>
          <w:rFonts w:eastAsia="Times New Roman"/>
        </w:rPr>
      </w:pPr>
      <w:bookmarkStart w:id="5" w:name="_Toc88752720"/>
      <w:r w:rsidRPr="00C85EDA">
        <w:t>Alternative</w:t>
      </w:r>
      <w:r>
        <w:rPr>
          <w:rFonts w:eastAsia="Times New Roman"/>
        </w:rPr>
        <w:t xml:space="preserve"> C is not in compliance with </w:t>
      </w:r>
      <w:r w:rsidR="00964065">
        <w:rPr>
          <w:rFonts w:eastAsia="Times New Roman"/>
        </w:rPr>
        <w:t>2012 Planning Rule 219.3</w:t>
      </w:r>
      <w:r>
        <w:rPr>
          <w:rFonts w:eastAsia="Times New Roman"/>
        </w:rPr>
        <w:t>.</w:t>
      </w:r>
      <w:bookmarkEnd w:id="5"/>
    </w:p>
    <w:p w14:paraId="6310CFD8" w14:textId="77EEA0AD" w:rsidR="00964065" w:rsidRPr="0027287E" w:rsidRDefault="00964065" w:rsidP="0027287E">
      <w:pPr>
        <w:pStyle w:val="TLPCDMCACommentParagaraphStyle"/>
        <w:rPr>
          <w:rFonts w:eastAsia="Times New Roman"/>
        </w:rPr>
      </w:pPr>
      <w:r>
        <w:rPr>
          <w:rFonts w:eastAsia="Times New Roman"/>
        </w:rPr>
        <w:t>The 2012 Planning Rule clearly states that agencies are required to use, “the best available scientific information to inform the planning process.”</w:t>
      </w:r>
      <w:r>
        <w:rPr>
          <w:rFonts w:eastAsia="Times New Roman"/>
          <w:vertAlign w:val="superscript"/>
        </w:rPr>
        <w:footnoteReference w:id="29"/>
      </w:r>
      <w:r>
        <w:rPr>
          <w:rFonts w:eastAsia="Times New Roman"/>
        </w:rPr>
        <w:t xml:space="preserve"> Since the LCAS is widely recognized as one of the main sources of the best available scientific information, the 2012 Planning Rule requires that the LCAS be considered in the planning process for the GMUG Draft Land Management Plan and accompanying DEIS. </w:t>
      </w:r>
      <w:r w:rsidR="00120BAF">
        <w:rPr>
          <w:rFonts w:eastAsia="Times New Roman"/>
        </w:rPr>
        <w:t xml:space="preserve">The fact that the LCAS was </w:t>
      </w:r>
      <w:r w:rsidR="00120BAF">
        <w:rPr>
          <w:rFonts w:eastAsia="Times New Roman"/>
        </w:rPr>
        <w:lastRenderedPageBreak/>
        <w:t xml:space="preserve">a key source for the SRLA, </w:t>
      </w:r>
      <w:r w:rsidR="00987928">
        <w:rPr>
          <w:rFonts w:eastAsia="Times New Roman"/>
        </w:rPr>
        <w:t>the GMUG Plan and DEIS must also give sufficient consideration to the recommendations and imposed standards present in the SRLA.</w:t>
      </w:r>
      <w:r>
        <w:rPr>
          <w:rFonts w:eastAsia="Times New Roman"/>
        </w:rPr>
        <w:t xml:space="preserve"> Alternative C so clearly runs afoul of the </w:t>
      </w:r>
      <w:r w:rsidR="001712E8">
        <w:rPr>
          <w:rFonts w:eastAsia="Times New Roman"/>
        </w:rPr>
        <w:t xml:space="preserve">SRLA (and the supporting </w:t>
      </w:r>
      <w:r>
        <w:rPr>
          <w:rFonts w:eastAsia="Times New Roman"/>
        </w:rPr>
        <w:t>LCAS</w:t>
      </w:r>
      <w:r w:rsidR="001712E8">
        <w:rPr>
          <w:rFonts w:eastAsia="Times New Roman"/>
        </w:rPr>
        <w:t xml:space="preserve">) in its </w:t>
      </w:r>
      <w:r w:rsidR="0027287E">
        <w:rPr>
          <w:rFonts w:eastAsia="Times New Roman"/>
        </w:rPr>
        <w:t xml:space="preserve">proposed vegetation management changes </w:t>
      </w:r>
      <w:r>
        <w:rPr>
          <w:rFonts w:eastAsia="Times New Roman"/>
        </w:rPr>
        <w:t xml:space="preserve">that it does not comply with the requirements of the 2012 Planning Rule - and </w:t>
      </w:r>
      <w:r w:rsidR="00C74269">
        <w:rPr>
          <w:rFonts w:eastAsia="Times New Roman"/>
        </w:rPr>
        <w:t xml:space="preserve">it </w:t>
      </w:r>
      <w:r>
        <w:rPr>
          <w:rFonts w:eastAsia="Times New Roman"/>
        </w:rPr>
        <w:t>similarly runs afoul of Executive Order 12866.</w:t>
      </w:r>
    </w:p>
    <w:p w14:paraId="53FDDA4F" w14:textId="3367ED04" w:rsidR="00964065" w:rsidRPr="00765528" w:rsidRDefault="00964065" w:rsidP="00765528">
      <w:pPr>
        <w:pStyle w:val="TLPCDMCACommentParagaraphStyle"/>
        <w:rPr>
          <w:rFonts w:eastAsia="Times New Roman"/>
        </w:rPr>
      </w:pPr>
      <w:r>
        <w:rPr>
          <w:rFonts w:eastAsia="Times New Roman"/>
        </w:rPr>
        <w:t>The LCAS identifies timber area concerns and substantially forms the vegetation standards set forth in the SRLA. Alternative C drastically alters the vegetation standards set forth in the SRLA and does not offer sufficient counter-evidence to support changing those standards in the form of, “other relevant science [or] locally specific information.”</w:t>
      </w:r>
      <w:r>
        <w:rPr>
          <w:rFonts w:eastAsia="Times New Roman"/>
          <w:vertAlign w:val="superscript"/>
        </w:rPr>
        <w:footnoteReference w:id="30"/>
      </w:r>
      <w:r>
        <w:rPr>
          <w:rFonts w:eastAsia="Times New Roman"/>
        </w:rPr>
        <w:t xml:space="preserve">  The DEIS itself concedes that “the best available information for this proposal includes publications listed in the Literature Cited sections of the assessment reports and in the References section of this draft environmental impact statement,” and specifically references the SRLA R</w:t>
      </w:r>
      <w:r w:rsidR="00CA05BF">
        <w:rPr>
          <w:rFonts w:eastAsia="Times New Roman"/>
        </w:rPr>
        <w:t>ecord of Decision (“SRLA ROD”)</w:t>
      </w:r>
      <w:r>
        <w:rPr>
          <w:rFonts w:eastAsia="Times New Roman"/>
        </w:rPr>
        <w:t xml:space="preserve"> and LCAS in its Literature Cited</w:t>
      </w:r>
      <w:r w:rsidR="00714C8D">
        <w:rPr>
          <w:rFonts w:eastAsia="Times New Roman"/>
        </w:rPr>
        <w:t xml:space="preserve"> section.</w:t>
      </w:r>
      <w:r>
        <w:rPr>
          <w:rFonts w:eastAsia="Times New Roman"/>
          <w:vertAlign w:val="superscript"/>
        </w:rPr>
        <w:footnoteReference w:id="31"/>
      </w:r>
    </w:p>
    <w:p w14:paraId="2CAE4E7D" w14:textId="131E0879" w:rsidR="002F6117" w:rsidRPr="002F6117" w:rsidRDefault="00964065" w:rsidP="00CA26FC">
      <w:pPr>
        <w:pStyle w:val="TLPCDMCACommentParagaraphStyle"/>
        <w:rPr>
          <w:rFonts w:eastAsia="Times New Roman"/>
        </w:rPr>
      </w:pPr>
      <w:r>
        <w:rPr>
          <w:rFonts w:eastAsia="Times New Roman"/>
        </w:rPr>
        <w:t>The SRLA vegetation standards place</w:t>
      </w:r>
      <w:r w:rsidR="00463500">
        <w:rPr>
          <w:rFonts w:eastAsia="Times New Roman"/>
        </w:rPr>
        <w:t xml:space="preserve"> undeniable reliance</w:t>
      </w:r>
      <w:r>
        <w:rPr>
          <w:rFonts w:eastAsia="Times New Roman"/>
        </w:rPr>
        <w:t xml:space="preserve"> on the scientific adequacy of the </w:t>
      </w:r>
      <w:r w:rsidR="00463500">
        <w:rPr>
          <w:rFonts w:eastAsia="Times New Roman"/>
        </w:rPr>
        <w:t>LCAS, and t</w:t>
      </w:r>
      <w:r>
        <w:rPr>
          <w:rFonts w:eastAsia="Times New Roman"/>
        </w:rPr>
        <w:t>he DEIS recognizes this reliance. It explains that the vegetation standards set forth in the SRLA, “restrict the amount of precommercial thinning and other vegetation treatments that could reduce existing Snowshoe Hare habitat,” which is vital for the survival of the Canada Lynx</w:t>
      </w:r>
      <w:r w:rsidR="00077B42">
        <w:rPr>
          <w:rFonts w:eastAsia="Times New Roman"/>
        </w:rPr>
        <w:t>.</w:t>
      </w:r>
      <w:r>
        <w:rPr>
          <w:rFonts w:eastAsia="Times New Roman"/>
          <w:vertAlign w:val="superscript"/>
        </w:rPr>
        <w:footnoteReference w:id="32"/>
      </w:r>
      <w:r>
        <w:rPr>
          <w:rFonts w:eastAsia="Times New Roman"/>
        </w:rPr>
        <w:t xml:space="preserve"> By its own admission, the DEIS recognizes that the LCAS and accompanying SRLA standards are reflective of the best available scientific information. </w:t>
      </w:r>
      <w:r w:rsidR="00F51693">
        <w:rPr>
          <w:rFonts w:eastAsia="Times New Roman"/>
        </w:rPr>
        <w:t>For this reason</w:t>
      </w:r>
      <w:r>
        <w:rPr>
          <w:rFonts w:eastAsia="Times New Roman"/>
        </w:rPr>
        <w:t>, Alternative C needs further support (other relevant science or locally specific information</w:t>
      </w:r>
      <w:r>
        <w:rPr>
          <w:rFonts w:eastAsia="Times New Roman"/>
          <w:vertAlign w:val="superscript"/>
        </w:rPr>
        <w:footnoteReference w:id="33"/>
      </w:r>
      <w:r>
        <w:rPr>
          <w:rFonts w:eastAsia="Times New Roman"/>
        </w:rPr>
        <w:t>) to alter the vegetation standards of the SRLA so drastically.</w:t>
      </w:r>
    </w:p>
    <w:p w14:paraId="794FAB76" w14:textId="0D7C725E" w:rsidR="00964065" w:rsidRDefault="00C87A66" w:rsidP="00C85EDA">
      <w:pPr>
        <w:pStyle w:val="Heading3"/>
        <w:numPr>
          <w:ilvl w:val="0"/>
          <w:numId w:val="5"/>
        </w:numPr>
        <w:rPr>
          <w:rFonts w:eastAsia="Times New Roman"/>
        </w:rPr>
      </w:pPr>
      <w:bookmarkStart w:id="6" w:name="_Toc88752721"/>
      <w:r>
        <w:rPr>
          <w:rFonts w:eastAsia="Times New Roman"/>
        </w:rPr>
        <w:t xml:space="preserve">Alternative C is not in compliance with </w:t>
      </w:r>
      <w:r w:rsidR="00964065">
        <w:rPr>
          <w:rFonts w:eastAsia="Times New Roman"/>
        </w:rPr>
        <w:t>2012 Planning Rule 219.9</w:t>
      </w:r>
      <w:r w:rsidR="006647A7">
        <w:rPr>
          <w:rFonts w:eastAsia="Times New Roman"/>
        </w:rPr>
        <w:t>.</w:t>
      </w:r>
      <w:bookmarkEnd w:id="6"/>
    </w:p>
    <w:p w14:paraId="09C26E11" w14:textId="76141664" w:rsidR="002F6117" w:rsidRPr="002F6117" w:rsidRDefault="00964065" w:rsidP="007F68F1">
      <w:pPr>
        <w:pStyle w:val="TLPCDMCACommentParagaraphStyle"/>
        <w:rPr>
          <w:rFonts w:eastAsia="Times New Roman"/>
        </w:rPr>
      </w:pPr>
      <w:r>
        <w:rPr>
          <w:rFonts w:eastAsia="Times New Roman"/>
        </w:rPr>
        <w:t>The 2012 Planning Rule further requires contribution: (i) to the recovery of federally listed threatened and endangered species; (ii) to conserve proposed and candidate species; and (iii) to maintain a viable population of each species of conservation concern within the plan area</w:t>
      </w:r>
      <w:r w:rsidR="002C11BC">
        <w:rPr>
          <w:rFonts w:eastAsia="Times New Roman"/>
        </w:rPr>
        <w:t>.</w:t>
      </w:r>
      <w:r>
        <w:rPr>
          <w:rFonts w:eastAsia="Times New Roman"/>
          <w:vertAlign w:val="superscript"/>
        </w:rPr>
        <w:footnoteReference w:id="34"/>
      </w:r>
      <w:r>
        <w:rPr>
          <w:rFonts w:eastAsia="Times New Roman"/>
        </w:rPr>
        <w:t xml:space="preserve"> Since the Canada Lynx is a federally listed threatened species, it falls within the category “species of conservation concern”</w:t>
      </w:r>
      <w:r>
        <w:rPr>
          <w:rFonts w:eastAsia="Times New Roman"/>
          <w:vertAlign w:val="superscript"/>
        </w:rPr>
        <w:footnoteReference w:id="35"/>
      </w:r>
      <w:r>
        <w:rPr>
          <w:rFonts w:eastAsia="Times New Roman"/>
        </w:rPr>
        <w:t xml:space="preserve"> and the agency’s responsible official has an affirmative duty to maintain the habitat of that species in the planning process. The Alternative C proposal to remove </w:t>
      </w:r>
      <w:r w:rsidR="00FA41CE">
        <w:rPr>
          <w:rFonts w:eastAsia="Times New Roman"/>
        </w:rPr>
        <w:t xml:space="preserve">VEG </w:t>
      </w:r>
      <w:r w:rsidR="0032571B">
        <w:rPr>
          <w:rFonts w:eastAsia="Times New Roman"/>
        </w:rPr>
        <w:t xml:space="preserve">Standard S2 (“VEG </w:t>
      </w:r>
      <w:r w:rsidR="00ED2D32">
        <w:rPr>
          <w:rFonts w:eastAsia="Times New Roman"/>
        </w:rPr>
        <w:t>S</w:t>
      </w:r>
      <w:r w:rsidR="00FA41CE">
        <w:rPr>
          <w:rFonts w:eastAsia="Times New Roman"/>
        </w:rPr>
        <w:t>2</w:t>
      </w:r>
      <w:r w:rsidR="0032571B">
        <w:rPr>
          <w:rFonts w:eastAsia="Times New Roman"/>
        </w:rPr>
        <w:t>”)</w:t>
      </w:r>
      <w:r w:rsidR="00FA41CE">
        <w:rPr>
          <w:rFonts w:eastAsia="Times New Roman"/>
        </w:rPr>
        <w:t xml:space="preserve">, </w:t>
      </w:r>
      <w:r w:rsidR="0032571B">
        <w:rPr>
          <w:rFonts w:eastAsia="Times New Roman"/>
        </w:rPr>
        <w:t xml:space="preserve">VEG Standard </w:t>
      </w:r>
      <w:r w:rsidR="0032571B">
        <w:rPr>
          <w:rFonts w:eastAsia="Times New Roman"/>
        </w:rPr>
        <w:lastRenderedPageBreak/>
        <w:t>S5 (“</w:t>
      </w:r>
      <w:r>
        <w:rPr>
          <w:rFonts w:eastAsia="Times New Roman"/>
        </w:rPr>
        <w:t>VEG S5</w:t>
      </w:r>
      <w:r w:rsidR="0032571B">
        <w:rPr>
          <w:rFonts w:eastAsia="Times New Roman"/>
        </w:rPr>
        <w:t>”)</w:t>
      </w:r>
      <w:r w:rsidR="00FA41CE">
        <w:rPr>
          <w:rFonts w:eastAsia="Times New Roman"/>
        </w:rPr>
        <w:t>,</w:t>
      </w:r>
      <w:r>
        <w:rPr>
          <w:rFonts w:eastAsia="Times New Roman"/>
        </w:rPr>
        <w:t xml:space="preserve"> and VEG</w:t>
      </w:r>
      <w:r w:rsidR="008A1B16">
        <w:rPr>
          <w:rFonts w:eastAsia="Times New Roman"/>
        </w:rPr>
        <w:t xml:space="preserve"> Standard S6 (“VEG </w:t>
      </w:r>
      <w:r>
        <w:rPr>
          <w:rFonts w:eastAsia="Times New Roman"/>
        </w:rPr>
        <w:t>S6</w:t>
      </w:r>
      <w:r w:rsidR="008A1B16">
        <w:rPr>
          <w:rFonts w:eastAsia="Times New Roman"/>
        </w:rPr>
        <w:t>”)</w:t>
      </w:r>
      <w:r>
        <w:rPr>
          <w:rFonts w:eastAsia="Times New Roman"/>
        </w:rPr>
        <w:t>, discussed in further detail below, fails this affirmative duty to maintain lynx habitat and is therefore in further conflict with the 2012 Planning Rule.</w:t>
      </w:r>
    </w:p>
    <w:p w14:paraId="5B7F0814" w14:textId="77EF113D" w:rsidR="00964065" w:rsidRDefault="00C87A66" w:rsidP="00361EE6">
      <w:pPr>
        <w:pStyle w:val="Heading3"/>
        <w:numPr>
          <w:ilvl w:val="0"/>
          <w:numId w:val="5"/>
        </w:numPr>
        <w:rPr>
          <w:rFonts w:eastAsia="Times New Roman"/>
          <w:b w:val="0"/>
        </w:rPr>
      </w:pPr>
      <w:bookmarkStart w:id="7" w:name="_Toc88752722"/>
      <w:r>
        <w:rPr>
          <w:rFonts w:eastAsia="Times New Roman"/>
        </w:rPr>
        <w:t xml:space="preserve">Alternative C is not in </w:t>
      </w:r>
      <w:r w:rsidRPr="0037292D">
        <w:t>compliance</w:t>
      </w:r>
      <w:r>
        <w:rPr>
          <w:rFonts w:eastAsia="Times New Roman"/>
        </w:rPr>
        <w:t xml:space="preserve"> with </w:t>
      </w:r>
      <w:r w:rsidR="00964065">
        <w:rPr>
          <w:rFonts w:eastAsia="Times New Roman"/>
        </w:rPr>
        <w:t>Executive Order 12866</w:t>
      </w:r>
      <w:r>
        <w:rPr>
          <w:rFonts w:eastAsia="Times New Roman"/>
        </w:rPr>
        <w:t>.</w:t>
      </w:r>
      <w:bookmarkEnd w:id="7"/>
    </w:p>
    <w:p w14:paraId="7D4B90B5" w14:textId="49F16F45" w:rsidR="007310C1" w:rsidRPr="00ED2D32" w:rsidRDefault="00964065" w:rsidP="007F68F1">
      <w:pPr>
        <w:pStyle w:val="TLPCDMCACommentParagaraphStyle"/>
        <w:rPr>
          <w:rFonts w:eastAsia="Times New Roman"/>
        </w:rPr>
      </w:pPr>
      <w:r>
        <w:rPr>
          <w:rFonts w:eastAsia="Times New Roman"/>
        </w:rPr>
        <w:t xml:space="preserve">Like the 2012 Planning Rule, Executive Order </w:t>
      </w:r>
      <w:bookmarkStart w:id="8" w:name="_Hlk88232222"/>
      <w:r>
        <w:rPr>
          <w:rFonts w:eastAsia="Times New Roman"/>
        </w:rPr>
        <w:t xml:space="preserve">12866 </w:t>
      </w:r>
      <w:bookmarkEnd w:id="8"/>
      <w:r>
        <w:rPr>
          <w:rFonts w:eastAsia="Times New Roman"/>
        </w:rPr>
        <w:t xml:space="preserve">similarly requires that </w:t>
      </w:r>
      <w:r w:rsidR="00081B48">
        <w:rPr>
          <w:rFonts w:eastAsia="Times New Roman"/>
        </w:rPr>
        <w:t>an agency</w:t>
      </w:r>
      <w:r>
        <w:rPr>
          <w:rFonts w:eastAsia="Times New Roman"/>
        </w:rPr>
        <w:t xml:space="preserve"> “base its decisions on the best reasonably obtainable scientific, technical, economic, and other information concerning the need for, and consequences of, the intended regulation.”</w:t>
      </w:r>
      <w:r>
        <w:rPr>
          <w:rFonts w:eastAsia="Times New Roman"/>
          <w:vertAlign w:val="superscript"/>
        </w:rPr>
        <w:footnoteReference w:id="36"/>
      </w:r>
      <w:r>
        <w:rPr>
          <w:rFonts w:eastAsia="Times New Roman"/>
        </w:rPr>
        <w:t xml:space="preserve">  Again, failure to adequately consider the best available scientific information contained in the LCAS and the accompanying SRLA vegetation standards places Alternative C at odds with legal considerations.  Alternative C clearly disregards the vegetation standards formulated in reliance on the scientific adequacy of the LCAS without offering sufficient counterevidence to support its proposals.</w:t>
      </w:r>
    </w:p>
    <w:p w14:paraId="27EEEE46" w14:textId="29A7EE61" w:rsidR="00964065" w:rsidRDefault="00964065" w:rsidP="00361EE6">
      <w:pPr>
        <w:pStyle w:val="Heading3"/>
        <w:numPr>
          <w:ilvl w:val="0"/>
          <w:numId w:val="5"/>
        </w:numPr>
        <w:rPr>
          <w:rFonts w:eastAsia="Times New Roman"/>
        </w:rPr>
      </w:pPr>
      <w:bookmarkStart w:id="9" w:name="_Toc88752723"/>
      <w:r>
        <w:rPr>
          <w:rFonts w:eastAsia="Times New Roman"/>
        </w:rPr>
        <w:t xml:space="preserve">Alternative C is </w:t>
      </w:r>
      <w:r w:rsidR="00ED190D">
        <w:rPr>
          <w:rFonts w:eastAsia="Times New Roman"/>
        </w:rPr>
        <w:t>n</w:t>
      </w:r>
      <w:r>
        <w:rPr>
          <w:rFonts w:eastAsia="Times New Roman"/>
        </w:rPr>
        <w:t xml:space="preserve">ot in </w:t>
      </w:r>
      <w:r w:rsidR="00ED190D">
        <w:rPr>
          <w:rFonts w:eastAsia="Times New Roman"/>
        </w:rPr>
        <w:t>c</w:t>
      </w:r>
      <w:r>
        <w:rPr>
          <w:rFonts w:eastAsia="Times New Roman"/>
        </w:rPr>
        <w:t>ompliance with NEPA.</w:t>
      </w:r>
      <w:bookmarkEnd w:id="9"/>
    </w:p>
    <w:p w14:paraId="0253F88C" w14:textId="3E825DD6" w:rsidR="007B1E53" w:rsidRPr="002F6117" w:rsidRDefault="00964065" w:rsidP="007F68F1">
      <w:pPr>
        <w:pStyle w:val="TLPCDMCACommentParagaraphStyle"/>
        <w:rPr>
          <w:rFonts w:eastAsia="Times New Roman"/>
        </w:rPr>
      </w:pPr>
      <w:r>
        <w:rPr>
          <w:rFonts w:eastAsia="Times New Roman"/>
        </w:rPr>
        <w:t>Similar to the 2012 Planning Rule, NEPA requires that agencies utilize, “the integrated use of the natural and social sciences and the environmental design arts in planning and in decision-making.”</w:t>
      </w:r>
      <w:r>
        <w:rPr>
          <w:rFonts w:eastAsia="Times New Roman"/>
          <w:vertAlign w:val="superscript"/>
        </w:rPr>
        <w:footnoteReference w:id="37"/>
      </w:r>
      <w:r>
        <w:rPr>
          <w:rFonts w:eastAsia="Times New Roman"/>
        </w:rPr>
        <w:t xml:space="preserve">  Again, lack of consideration given to the LCAS proves to be the critical error of Alternative C.  Alternative C proposes removing VEG S2, changing the plan such that VEG S5 and VEG S6 will no longer apply, and adding VEG S7.  The following section explores these changes in-depth, but Alternative C changes these standards to such an extent that it cannot be deemed to be reliant on, “the integrated use of natural and social sciences,”</w:t>
      </w:r>
      <w:r>
        <w:rPr>
          <w:rFonts w:eastAsia="Times New Roman"/>
          <w:vertAlign w:val="superscript"/>
        </w:rPr>
        <w:footnoteReference w:id="38"/>
      </w:r>
      <w:r>
        <w:rPr>
          <w:rFonts w:eastAsia="Times New Roman"/>
        </w:rPr>
        <w:t xml:space="preserve"> or the “best available scientific information,”</w:t>
      </w:r>
      <w:r>
        <w:rPr>
          <w:rFonts w:eastAsia="Times New Roman"/>
          <w:vertAlign w:val="superscript"/>
        </w:rPr>
        <w:footnoteReference w:id="39"/>
      </w:r>
      <w:r>
        <w:rPr>
          <w:rFonts w:eastAsia="Times New Roman"/>
        </w:rPr>
        <w:t xml:space="preserve"> required by NEPA and the 2012 Planning Rule.</w:t>
      </w:r>
    </w:p>
    <w:p w14:paraId="5441B066" w14:textId="3066296C" w:rsidR="00964065" w:rsidRDefault="00032FA7" w:rsidP="00361EE6">
      <w:pPr>
        <w:pStyle w:val="Heading3"/>
        <w:numPr>
          <w:ilvl w:val="0"/>
          <w:numId w:val="5"/>
        </w:numPr>
        <w:rPr>
          <w:rFonts w:eastAsia="Times New Roman"/>
        </w:rPr>
      </w:pPr>
      <w:bookmarkStart w:id="10" w:name="_Toc88752724"/>
      <w:r>
        <w:rPr>
          <w:rFonts w:eastAsia="Times New Roman"/>
        </w:rPr>
        <w:t>The Forest Service should remove Alternative C from consideration.</w:t>
      </w:r>
      <w:bookmarkEnd w:id="10"/>
    </w:p>
    <w:p w14:paraId="77191776" w14:textId="7C959EB5" w:rsidR="00964065" w:rsidRDefault="00964065" w:rsidP="00611E88">
      <w:pPr>
        <w:pStyle w:val="TLPCDMCACommentParagaraphStyle"/>
        <w:rPr>
          <w:rFonts w:eastAsia="Times New Roman"/>
        </w:rPr>
      </w:pPr>
      <w:r>
        <w:rPr>
          <w:rFonts w:eastAsia="Times New Roman"/>
        </w:rPr>
        <w:t xml:space="preserve">The </w:t>
      </w:r>
      <w:r w:rsidR="00032FA7">
        <w:rPr>
          <w:rFonts w:eastAsia="Times New Roman"/>
        </w:rPr>
        <w:t>Forest Service</w:t>
      </w:r>
      <w:r>
        <w:rPr>
          <w:rFonts w:eastAsia="Times New Roman"/>
        </w:rPr>
        <w:t xml:space="preserve"> should set aside Alternative C as a valid alternative for failure to comply with the 2012 Planning Rule</w:t>
      </w:r>
      <w:r w:rsidR="00032FA7">
        <w:rPr>
          <w:rFonts w:eastAsia="Times New Roman"/>
        </w:rPr>
        <w:t>, and for its</w:t>
      </w:r>
      <w:r>
        <w:rPr>
          <w:rFonts w:eastAsia="Times New Roman"/>
        </w:rPr>
        <w:t xml:space="preserve"> failure to comply with Executive Order 12866 and NEPA</w:t>
      </w:r>
      <w:r w:rsidR="00954622">
        <w:rPr>
          <w:rFonts w:eastAsia="Times New Roman"/>
        </w:rPr>
        <w:t>.</w:t>
      </w:r>
      <w:r>
        <w:rPr>
          <w:rFonts w:eastAsia="Times New Roman"/>
        </w:rPr>
        <w:t xml:space="preserve"> </w:t>
      </w:r>
      <w:r w:rsidR="00954622">
        <w:rPr>
          <w:rFonts w:eastAsia="Times New Roman"/>
        </w:rPr>
        <w:t>T</w:t>
      </w:r>
      <w:r>
        <w:rPr>
          <w:rFonts w:eastAsia="Times New Roman"/>
        </w:rPr>
        <w:t xml:space="preserve">he crux of the problem is that Alternative C disregards the LCAS and accompanying SRLA vegetation standards which need to be considered as </w:t>
      </w:r>
      <w:r w:rsidR="00F312F5">
        <w:rPr>
          <w:rFonts w:eastAsia="Times New Roman"/>
        </w:rPr>
        <w:t xml:space="preserve">the Forest Service explicitly recognizes both documents as </w:t>
      </w:r>
      <w:r>
        <w:rPr>
          <w:rFonts w:eastAsia="Times New Roman"/>
        </w:rPr>
        <w:t xml:space="preserve">reflecting the best available scientific information.  Without additional other relevant science or locally specific information, Alternative C does not have the requisite scientific backing to </w:t>
      </w:r>
      <w:r w:rsidR="00F312F5">
        <w:rPr>
          <w:rFonts w:eastAsia="Times New Roman"/>
        </w:rPr>
        <w:t>make such drastic modifications to the vegetation management standards</w:t>
      </w:r>
      <w:r>
        <w:rPr>
          <w:rFonts w:eastAsia="Times New Roman"/>
        </w:rPr>
        <w:t>.</w:t>
      </w:r>
    </w:p>
    <w:p w14:paraId="39DBDEC0" w14:textId="77777777" w:rsidR="002F6117" w:rsidRDefault="002F6117" w:rsidP="00611E88">
      <w:pPr>
        <w:pStyle w:val="TLPCDMCACommentParagaraphStyle"/>
        <w:rPr>
          <w:rFonts w:eastAsia="Times New Roman"/>
        </w:rPr>
      </w:pPr>
    </w:p>
    <w:p w14:paraId="24558450" w14:textId="3BE0A8C3" w:rsidR="009639E9" w:rsidRPr="007766DA" w:rsidRDefault="000D6457" w:rsidP="009639E9">
      <w:pPr>
        <w:pStyle w:val="Heading2"/>
        <w:rPr>
          <w:rFonts w:asciiTheme="minorHAnsi" w:hAnsiTheme="minorHAnsi" w:cstheme="minorHAnsi"/>
        </w:rPr>
      </w:pPr>
      <w:bookmarkStart w:id="11" w:name="_Toc88752725"/>
      <w:r>
        <w:rPr>
          <w:rFonts w:asciiTheme="minorHAnsi" w:hAnsiTheme="minorHAnsi" w:cstheme="minorHAnsi"/>
        </w:rPr>
        <w:lastRenderedPageBreak/>
        <w:t xml:space="preserve">C. </w:t>
      </w:r>
      <w:r w:rsidR="004D2BE9">
        <w:rPr>
          <w:rFonts w:asciiTheme="minorHAnsi" w:hAnsiTheme="minorHAnsi" w:cstheme="minorHAnsi"/>
        </w:rPr>
        <w:t>Alternative C’s</w:t>
      </w:r>
      <w:r w:rsidR="00A670C6">
        <w:rPr>
          <w:rFonts w:asciiTheme="minorHAnsi" w:hAnsiTheme="minorHAnsi" w:cstheme="minorHAnsi"/>
        </w:rPr>
        <w:t xml:space="preserve"> removal</w:t>
      </w:r>
      <w:r w:rsidR="009639E9" w:rsidRPr="007766DA">
        <w:rPr>
          <w:rFonts w:asciiTheme="minorHAnsi" w:hAnsiTheme="minorHAnsi" w:cstheme="minorHAnsi"/>
        </w:rPr>
        <w:t xml:space="preserve"> of VEG S2 cannot be justified </w:t>
      </w:r>
      <w:r w:rsidR="009639E9">
        <w:rPr>
          <w:rFonts w:asciiTheme="minorHAnsi" w:hAnsiTheme="minorHAnsi" w:cstheme="minorHAnsi"/>
        </w:rPr>
        <w:t xml:space="preserve">based on </w:t>
      </w:r>
      <w:r w:rsidR="00A670C6">
        <w:rPr>
          <w:rFonts w:asciiTheme="minorHAnsi" w:hAnsiTheme="minorHAnsi" w:cstheme="minorHAnsi"/>
        </w:rPr>
        <w:t xml:space="preserve">the </w:t>
      </w:r>
      <w:r w:rsidR="007B1E53">
        <w:rPr>
          <w:rFonts w:asciiTheme="minorHAnsi" w:hAnsiTheme="minorHAnsi" w:cstheme="minorHAnsi"/>
        </w:rPr>
        <w:t>best available scientific information.</w:t>
      </w:r>
      <w:bookmarkEnd w:id="11"/>
    </w:p>
    <w:p w14:paraId="43F466BE" w14:textId="7EBDE0C8" w:rsidR="009639E9" w:rsidRDefault="009639E9" w:rsidP="00611E88">
      <w:pPr>
        <w:pStyle w:val="TLPCDMCACommentParagaraphStyle"/>
      </w:pPr>
      <w:r>
        <w:t>The 2021 Draft Environmental Impact Statement proposes the removal of VEG S2 under Alternatives B and C. VEG S2’s stated purpose is to ensure “</w:t>
      </w:r>
      <w:r w:rsidRPr="004E479E">
        <w:t>that timber harvest not change more</w:t>
      </w:r>
      <w:r>
        <w:t xml:space="preserve"> </w:t>
      </w:r>
      <w:r w:rsidRPr="004E479E">
        <w:t>than 15 percent of lynx habitat within a decade to an unsuitable condition (i.e., stand</w:t>
      </w:r>
      <w:r>
        <w:t xml:space="preserve"> </w:t>
      </w:r>
      <w:r w:rsidRPr="004E479E">
        <w:t>initiation structural stage that is too short to provide winter snowshoe hare habitat).</w:t>
      </w:r>
      <w:r>
        <w:t xml:space="preserve"> </w:t>
      </w:r>
      <w:r w:rsidRPr="004E479E">
        <w:t>The purpose of this standard was to limit the rate of management-induced change in</w:t>
      </w:r>
      <w:r>
        <w:t xml:space="preserve"> </w:t>
      </w:r>
      <w:r w:rsidRPr="004E479E">
        <w:t>lynx habitat</w:t>
      </w:r>
      <w:r>
        <w:t>.”</w:t>
      </w:r>
      <w:r>
        <w:rPr>
          <w:rStyle w:val="FootnoteReference"/>
          <w:rFonts w:asciiTheme="minorHAnsi" w:hAnsiTheme="minorHAnsi" w:cstheme="minorHAnsi"/>
        </w:rPr>
        <w:footnoteReference w:id="40"/>
      </w:r>
      <w:r>
        <w:t xml:space="preserve"> VEG S2 also notes that “Salvage harvest within stands killed by insect epidemics, wildfire, etc. does not contribute to the 15 percent, unless the harvest treatment would cause the lynx habitat to change to an unsuitable condition.”</w:t>
      </w:r>
      <w:r>
        <w:rPr>
          <w:rStyle w:val="FootnoteReference"/>
        </w:rPr>
        <w:footnoteReference w:id="41"/>
      </w:r>
    </w:p>
    <w:p w14:paraId="12166643" w14:textId="77777777" w:rsidR="009639E9" w:rsidRDefault="009639E9" w:rsidP="00747C8D">
      <w:pPr>
        <w:pStyle w:val="TLPCDMCACommentParagaraphStyle"/>
      </w:pPr>
      <w:r>
        <w:t>When the removal of VEG S2 was initially proposed, “the</w:t>
      </w:r>
      <w:r w:rsidRPr="00CB4528">
        <w:t xml:space="preserve"> U.S. Fish and Wildlife Service expressed concerns that</w:t>
      </w:r>
      <w:r>
        <w:t xml:space="preserve"> </w:t>
      </w:r>
      <w:r w:rsidRPr="00CB4528">
        <w:t>dropping Standard VEG S2 could appreciably reduce the amount of lynx habitat in a</w:t>
      </w:r>
      <w:r>
        <w:t xml:space="preserve"> </w:t>
      </w:r>
      <w:r w:rsidRPr="00CB4528">
        <w:t>short period of time and allow negative effects to accumulate.</w:t>
      </w:r>
      <w:r>
        <w:t>”</w:t>
      </w:r>
      <w:r>
        <w:rPr>
          <w:rStyle w:val="FootnoteReference"/>
          <w:rFonts w:asciiTheme="minorHAnsi" w:hAnsiTheme="minorHAnsi" w:cstheme="minorHAnsi"/>
        </w:rPr>
        <w:footnoteReference w:id="42"/>
      </w:r>
      <w:r>
        <w:t xml:space="preserve"> The SRLA ROD notes that VEG S2 “limits the rate of change within an LAU to ensure sufficient habitat is available to support lynx at any given point in time.”</w:t>
      </w:r>
      <w:r>
        <w:rPr>
          <w:rStyle w:val="FootnoteReference"/>
        </w:rPr>
        <w:footnoteReference w:id="43"/>
      </w:r>
      <w:r>
        <w:t xml:space="preserve"> The SRLA ROD ensured that Standard VEG S2 was retained in one of the analyzed alternatives. Not only was VEG S2 retained in an Alternative, that Alternative was itself the final selection in the SRLA ROD.</w:t>
      </w:r>
      <w:r>
        <w:rPr>
          <w:rStyle w:val="FootnoteReference"/>
        </w:rPr>
        <w:footnoteReference w:id="44"/>
      </w:r>
      <w:r>
        <w:t xml:space="preserve"> </w:t>
      </w:r>
    </w:p>
    <w:p w14:paraId="26CF1BEE" w14:textId="610C1DDA" w:rsidR="009639E9" w:rsidRDefault="009639E9" w:rsidP="00611E88">
      <w:pPr>
        <w:pStyle w:val="TLPCDMCACommentParagaraphStyle"/>
      </w:pPr>
      <w:r>
        <w:t xml:space="preserve">The </w:t>
      </w:r>
      <w:r w:rsidR="00036328">
        <w:t xml:space="preserve">GMUG </w:t>
      </w:r>
      <w:r>
        <w:t>DEIS claims that “the effect of removing VEG S2 is anticipated to be limited to reduced administrative burden,”</w:t>
      </w:r>
      <w:r>
        <w:rPr>
          <w:rStyle w:val="FootnoteReference"/>
        </w:rPr>
        <w:footnoteReference w:id="45"/>
      </w:r>
      <w:r>
        <w:t xml:space="preserve"> but later states that “For lynx, the potential effects could be that under alternative C, vegetation management activities may affect more lynx habitat than alternatives A, B, and D due to removing the Veg S2, S5, and S6 standards.”</w:t>
      </w:r>
      <w:r>
        <w:rPr>
          <w:rStyle w:val="FootnoteReference"/>
        </w:rPr>
        <w:footnoteReference w:id="46"/>
      </w:r>
      <w:r>
        <w:t xml:space="preserve"> If the removal of VEG S2 has the potential to adversely impact lynx habitat (as appears to be </w:t>
      </w:r>
      <w:r w:rsidR="00B555EB">
        <w:t xml:space="preserve">directly </w:t>
      </w:r>
      <w:r>
        <w:t>acknowledged in the DEIS), its removal requires greater justification than that of having the potential to reduce administrative burden.</w:t>
      </w:r>
    </w:p>
    <w:p w14:paraId="59FBF2BA" w14:textId="74CF9930" w:rsidR="009639E9" w:rsidRDefault="009639E9" w:rsidP="00611E88">
      <w:pPr>
        <w:pStyle w:val="TLPCDMCACommentParagaraphStyle"/>
      </w:pPr>
      <w:r>
        <w:t xml:space="preserve">The </w:t>
      </w:r>
      <w:r w:rsidR="00B555EB">
        <w:t xml:space="preserve">GMUG </w:t>
      </w:r>
      <w:r>
        <w:t xml:space="preserve">DEIS makes a circular argument when it states that one of the reasons that the removal of VEG S2 would have a minimal effect on the timber program is that “the timber program has been operating well below the Southern Rockies Lynx </w:t>
      </w:r>
      <w:r>
        <w:lastRenderedPageBreak/>
        <w:t>Amendment caps for Veg S2…”</w:t>
      </w:r>
      <w:r>
        <w:rPr>
          <w:rStyle w:val="FootnoteReference"/>
        </w:rPr>
        <w:footnoteReference w:id="47"/>
      </w:r>
      <w:r>
        <w:t xml:space="preserve"> </w:t>
      </w:r>
      <w:r w:rsidR="001B0CA4">
        <w:t>It is a weak</w:t>
      </w:r>
      <w:r>
        <w:t xml:space="preserve"> argument to remove a cap because it has not been met. If anything, the fact that the cap has not been met is strong evidence of its efficacy, not of its uselessness.</w:t>
      </w:r>
    </w:p>
    <w:p w14:paraId="4ACC5B79" w14:textId="77777777" w:rsidR="0058019F" w:rsidRDefault="009639E9" w:rsidP="00611E88">
      <w:pPr>
        <w:pStyle w:val="TLPCDMCACommentParagaraphStyle"/>
      </w:pPr>
      <w:r>
        <w:t xml:space="preserve">The argument for the removal of S2 is even shakier thanks to the USFS’s acknowledgement that VEG S2’s removal would not have a notable impact on the timber program itself. </w:t>
      </w:r>
      <w:r w:rsidRPr="007766DA">
        <w:t xml:space="preserve">In fact, </w:t>
      </w:r>
      <w:r>
        <w:t xml:space="preserve">both </w:t>
      </w:r>
      <w:r w:rsidRPr="007766DA">
        <w:t xml:space="preserve">the </w:t>
      </w:r>
      <w:r>
        <w:t xml:space="preserve">2021 GMUG </w:t>
      </w:r>
      <w:r w:rsidRPr="007766DA">
        <w:t>DEIS</w:t>
      </w:r>
      <w:r>
        <w:t xml:space="preserve"> and the SRLA ROD note</w:t>
      </w:r>
      <w:r w:rsidRPr="007766DA">
        <w:t xml:space="preserve"> that whether or not VEG S2 is implemented will “have a minimal effect on the timber program.”</w:t>
      </w:r>
      <w:r w:rsidRPr="007766DA">
        <w:rPr>
          <w:rStyle w:val="FootnoteReference"/>
          <w:rFonts w:asciiTheme="minorHAnsi" w:hAnsiTheme="minorHAnsi" w:cstheme="minorHAnsi"/>
        </w:rPr>
        <w:footnoteReference w:id="48"/>
      </w:r>
      <w:r w:rsidRPr="007766DA">
        <w:t xml:space="preserve"> Given that the USFS has concluded that the timber program will not be heavily impacted by the presence or removal of VEG S2, its recommendation that VEG S2 be removed is all the more perplexing.</w:t>
      </w:r>
      <w:r>
        <w:t xml:space="preserve"> </w:t>
      </w:r>
    </w:p>
    <w:p w14:paraId="2E5AB430" w14:textId="39A78E74" w:rsidR="009639E9" w:rsidRDefault="009639E9" w:rsidP="0058019F">
      <w:pPr>
        <w:pStyle w:val="TLPCDMCACommentParagaraphStyle"/>
      </w:pPr>
      <w:r>
        <w:t xml:space="preserve">The fact that VEG S2 was expressly included in the Alternative selected in the SRLA ROD also acts as a significant indicator of the importance of this Standard to the preservation of lynx habitat. If the SRLA felt it necessary to include VEG S2, the USFS must put on a stronger showing to justify its removal under GMUG Alternatives B and C. </w:t>
      </w:r>
      <w:r w:rsidR="00204EFA">
        <w:t>Given that</w:t>
      </w:r>
      <w:r>
        <w:t xml:space="preserve"> the removal of VEG S2 has the potential to “appreciably reduce the amount of lynx habitat,” VEG S2 was deliberately included in the SRLA, </w:t>
      </w:r>
      <w:r>
        <w:rPr>
          <w:i/>
          <w:iCs/>
        </w:rPr>
        <w:t>and</w:t>
      </w:r>
      <w:r>
        <w:t xml:space="preserve"> </w:t>
      </w:r>
      <w:r w:rsidR="0058019F">
        <w:t>VEG S2’s</w:t>
      </w:r>
      <w:r>
        <w:t xml:space="preserve"> removal would not meaningfully impact the proposed timber program, the USFS’s removal of VEG S2 under Alternatives B and C does not appear rational when considered in light of the desired conditions involving lynx habitat preservation</w:t>
      </w:r>
      <w:r w:rsidR="00204EFA">
        <w:t>, nor does it met the test of being based on the best available scientific information</w:t>
      </w:r>
      <w:r>
        <w:t xml:space="preserve">. </w:t>
      </w:r>
    </w:p>
    <w:p w14:paraId="3FE1422A" w14:textId="77777777" w:rsidR="003C3CE5" w:rsidRDefault="003C3CE5" w:rsidP="009639E9"/>
    <w:p w14:paraId="1DE74057" w14:textId="6B2A9AB6" w:rsidR="003C3CE5" w:rsidRDefault="000D6457" w:rsidP="003C3CE5">
      <w:pPr>
        <w:pStyle w:val="Heading2"/>
        <w:rPr>
          <w:rFonts w:asciiTheme="minorHAnsi" w:hAnsiTheme="minorHAnsi" w:cstheme="minorHAnsi"/>
        </w:rPr>
      </w:pPr>
      <w:bookmarkStart w:id="12" w:name="_Toc88752726"/>
      <w:r>
        <w:rPr>
          <w:rFonts w:asciiTheme="minorHAnsi" w:hAnsiTheme="minorHAnsi" w:cstheme="minorHAnsi"/>
        </w:rPr>
        <w:t xml:space="preserve">D. </w:t>
      </w:r>
      <w:r w:rsidR="003C3CE5" w:rsidRPr="007766DA">
        <w:rPr>
          <w:rFonts w:asciiTheme="minorHAnsi" w:hAnsiTheme="minorHAnsi" w:cstheme="minorHAnsi"/>
        </w:rPr>
        <w:t xml:space="preserve">Alternative C’s removal of VEG S6 </w:t>
      </w:r>
      <w:r w:rsidR="00377A87">
        <w:rPr>
          <w:rFonts w:asciiTheme="minorHAnsi" w:hAnsiTheme="minorHAnsi" w:cstheme="minorHAnsi"/>
        </w:rPr>
        <w:t xml:space="preserve">and addition of VEG S7 </w:t>
      </w:r>
      <w:r w:rsidR="003C3CE5" w:rsidRPr="007766DA">
        <w:rPr>
          <w:rFonts w:asciiTheme="minorHAnsi" w:hAnsiTheme="minorHAnsi" w:cstheme="minorHAnsi"/>
        </w:rPr>
        <w:t>cannot be adequately justified</w:t>
      </w:r>
      <w:r w:rsidR="001C4941">
        <w:rPr>
          <w:rFonts w:asciiTheme="minorHAnsi" w:hAnsiTheme="minorHAnsi" w:cstheme="minorHAnsi"/>
        </w:rPr>
        <w:t>.</w:t>
      </w:r>
      <w:bookmarkEnd w:id="12"/>
    </w:p>
    <w:p w14:paraId="6743FC65" w14:textId="5253E528" w:rsidR="003C3CE5" w:rsidRPr="00AB71B6" w:rsidRDefault="003C3CE5" w:rsidP="00EB184A">
      <w:pPr>
        <w:pStyle w:val="TLPCDMCACommentParagaraphStyle"/>
      </w:pPr>
      <w:r w:rsidRPr="00AB71B6">
        <w:t xml:space="preserve">The DEIS proposes the removal of Standard VEG S6 (“VEG S6”) as a component of Alternative C. The justifications put forward for this change are inadequate and contrary to the USFS’s </w:t>
      </w:r>
      <w:r>
        <w:t xml:space="preserve">stated objective of lynx protection and conservation. </w:t>
      </w:r>
      <w:r w:rsidR="00B0682D">
        <w:t xml:space="preserve">The recommended removal of VEG S6 is also in conflict with the Forest Service’s legal </w:t>
      </w:r>
      <w:r w:rsidRPr="00AB71B6">
        <w:t xml:space="preserve">obligations under </w:t>
      </w:r>
      <w:r w:rsidR="00B0682D">
        <w:t xml:space="preserve">the 2012 Planning Rule, Executive Order </w:t>
      </w:r>
      <w:r w:rsidR="008F0CE5" w:rsidRPr="008F0CE5">
        <w:t>12866</w:t>
      </w:r>
      <w:r w:rsidR="008F0CE5">
        <w:t>, and NEPA.</w:t>
      </w:r>
    </w:p>
    <w:p w14:paraId="69F1C398" w14:textId="39555A00" w:rsidR="003C3CE5" w:rsidRDefault="003C3CE5" w:rsidP="00611E88">
      <w:pPr>
        <w:pStyle w:val="TLPCDMCACommentParagaraphStyle"/>
      </w:pPr>
      <w:r w:rsidRPr="00AB71B6">
        <w:t>VEG S6 originated in the SLRA, which identified this Standard as “an important component of management to sustain lynx habitat.”</w:t>
      </w:r>
      <w:r w:rsidRPr="00AB71B6">
        <w:rPr>
          <w:rStyle w:val="FootnoteReference"/>
          <w:rFonts w:ascii="Times New Roman" w:hAnsi="Times New Roman" w:cs="Times New Roman"/>
        </w:rPr>
        <w:footnoteReference w:id="49"/>
      </w:r>
      <w:r w:rsidRPr="00AB71B6">
        <w:t xml:space="preserve"> </w:t>
      </w:r>
      <w:r>
        <w:t>The lynx</w:t>
      </w:r>
      <w:r w:rsidR="000975A0">
        <w:t xml:space="preserve"> is</w:t>
      </w:r>
      <w:r>
        <w:t xml:space="preserve"> “a highly specialized predator, adapted to prey on snowshoe hares.”</w:t>
      </w:r>
      <w:r>
        <w:rPr>
          <w:rStyle w:val="FootnoteReference"/>
        </w:rPr>
        <w:footnoteReference w:id="50"/>
      </w:r>
      <w:r>
        <w:t xml:space="preserve"> The snowshoe hare, an important prey </w:t>
      </w:r>
      <w:r>
        <w:lastRenderedPageBreak/>
        <w:t>source for the Canada lynx, prefers dense cover,</w:t>
      </w:r>
      <w:r>
        <w:rPr>
          <w:rStyle w:val="FootnoteReference"/>
        </w:rPr>
        <w:footnoteReference w:id="51"/>
      </w:r>
      <w:r>
        <w:t xml:space="preserve"> and “mature multistory forests provide important winter snowshoe hare habitat that may support higher hare densities than younger regenerating stands.”</w:t>
      </w:r>
      <w:r>
        <w:rPr>
          <w:rStyle w:val="FootnoteReference"/>
        </w:rPr>
        <w:footnoteReference w:id="52"/>
      </w:r>
      <w:r>
        <w:t xml:space="preserve"> </w:t>
      </w:r>
    </w:p>
    <w:p w14:paraId="41ED39B8" w14:textId="03F7B6BC" w:rsidR="003C3CE5" w:rsidRDefault="003C3CE5" w:rsidP="00377A87">
      <w:pPr>
        <w:pStyle w:val="TLPCDMCACommentParagaraphStyle"/>
      </w:pPr>
      <w:r>
        <w:t>The standards adopted under the SRLA “are applied only to vegetation management activities that have the potential to directly affect snowshoe hare prey and thus may impact lynx at the population level.”</w:t>
      </w:r>
      <w:r>
        <w:rPr>
          <w:rStyle w:val="FootnoteReference"/>
        </w:rPr>
        <w:footnoteReference w:id="53"/>
      </w:r>
      <w:r>
        <w:t xml:space="preserve"> </w:t>
      </w:r>
      <w:r w:rsidRPr="00AB71B6">
        <w:rPr>
          <w:rFonts w:ascii="Times New Roman" w:hAnsi="Times New Roman" w:cs="Times New Roman"/>
        </w:rPr>
        <w:t>Under VEG S6, “Vegetation management projects that reduce winter snowshoe hare habitat in multi-story mature or late successional conifer forests may occur only” in certain limited circumstances.</w:t>
      </w:r>
      <w:r w:rsidRPr="00AB71B6">
        <w:rPr>
          <w:rStyle w:val="FootnoteReference"/>
          <w:rFonts w:ascii="Times New Roman" w:hAnsi="Times New Roman" w:cs="Times New Roman"/>
        </w:rPr>
        <w:footnoteReference w:id="54"/>
      </w:r>
      <w:r>
        <w:t xml:space="preserve"> Further underscoring the SRLA’s understanding of the importance of snowshoe hare protection, the SRLA ROD noted that in the selected </w:t>
      </w:r>
      <w:r w:rsidR="00D25345">
        <w:t xml:space="preserve">final </w:t>
      </w:r>
      <w:r>
        <w:t>Alternative, “the emphasis is on sustaining winter snowshoe hare habitat.”</w:t>
      </w:r>
      <w:r>
        <w:rPr>
          <w:rStyle w:val="FootnoteReference"/>
        </w:rPr>
        <w:footnoteReference w:id="55"/>
      </w:r>
      <w:r w:rsidR="00377A87">
        <w:t xml:space="preserve"> </w:t>
      </w:r>
      <w:r>
        <w:t xml:space="preserve">With this information as a backdrop, </w:t>
      </w:r>
      <w:r w:rsidR="00FF699F">
        <w:t xml:space="preserve">Alternative C’s </w:t>
      </w:r>
      <w:r>
        <w:t>recommendation that VEG S6 be removed</w:t>
      </w:r>
      <w:r w:rsidR="00FF699F">
        <w:t xml:space="preserve"> and replaced with VEG S7</w:t>
      </w:r>
      <w:r>
        <w:t xml:space="preserve"> under deserves severe scrutiny.</w:t>
      </w:r>
    </w:p>
    <w:p w14:paraId="6762DAAA" w14:textId="456D5821" w:rsidR="003C3CE5" w:rsidRDefault="00E34132" w:rsidP="00611E88">
      <w:pPr>
        <w:pStyle w:val="TLPCDMCACommentParagaraphStyle"/>
      </w:pPr>
      <w:r>
        <w:t>The GMUG DEIS describes VEG S7 by stating that “VEG S7 adds a conservation benefit by limiting salvage harvest in high-quality lynx habitat where VEG S6 would no longer apply.”</w:t>
      </w:r>
      <w:r>
        <w:rPr>
          <w:rStyle w:val="FootnoteReference"/>
        </w:rPr>
        <w:footnoteReference w:id="56"/>
      </w:r>
      <w:r>
        <w:t xml:space="preserve"> </w:t>
      </w:r>
      <w:r w:rsidR="003C3CE5">
        <w:t>The USFS notes that in recent years the spruce beetle epidemic has significantly altered forest conditions in many places, including lynx habitat.</w:t>
      </w:r>
      <w:r w:rsidR="003C3CE5">
        <w:rPr>
          <w:rStyle w:val="FootnoteReference"/>
        </w:rPr>
        <w:footnoteReference w:id="57"/>
      </w:r>
      <w:r w:rsidR="003C3CE5">
        <w:t xml:space="preserve"> Beetle activity has resulted in forest conditions in some areas being converted from multi-storied (explicitly protected by VEG S6) to single-storied (not protected by VEG S6). </w:t>
      </w:r>
      <w:r w:rsidR="000C3268" w:rsidRPr="00AB71B6">
        <w:t xml:space="preserve">The </w:t>
      </w:r>
      <w:r w:rsidR="000C3268">
        <w:t xml:space="preserve">GMUG </w:t>
      </w:r>
      <w:r w:rsidR="000C3268" w:rsidRPr="00AB71B6">
        <w:t>DEIS characterizes VEG S7 as particularly valuable in combination with VEG S6, as together they protect habitat that might otherwise not be covered.</w:t>
      </w:r>
      <w:r w:rsidR="000C3268">
        <w:t xml:space="preserve"> </w:t>
      </w:r>
      <w:r w:rsidR="003C3CE5">
        <w:t xml:space="preserve">Put another way, the combination of VEG S6 and VEG S7 expands protection to lynx habitat that may now fall outside the scope of VEG S6. </w:t>
      </w:r>
    </w:p>
    <w:p w14:paraId="7CF71930" w14:textId="69D22E06" w:rsidR="003C3CE5" w:rsidRDefault="003C3CE5" w:rsidP="00B623B0">
      <w:pPr>
        <w:pStyle w:val="TLPCDMCACommentParagaraphStyle"/>
      </w:pPr>
      <w:r>
        <w:t xml:space="preserve">Ensuring continued protection for habitat that was deemed worth defending under the SRLA is consistent with the stated aims of lynx conservation However, saying that VEG S7 “limits” salvage in these areas only tells part of the story. </w:t>
      </w:r>
      <w:r w:rsidR="000C3268">
        <w:t>Practically speaking</w:t>
      </w:r>
      <w:r>
        <w:t xml:space="preserve">, VEG S7 </w:t>
      </w:r>
      <w:r>
        <w:rPr>
          <w:i/>
          <w:iCs/>
        </w:rPr>
        <w:t>permits</w:t>
      </w:r>
      <w:r>
        <w:t xml:space="preserve"> salvage in these areas.</w:t>
      </w:r>
      <w:r w:rsidR="00B623B0">
        <w:t xml:space="preserve"> </w:t>
      </w:r>
      <w:r>
        <w:t xml:space="preserve">VEG S7 does not merely expand coverage to areas that have fallen outside the bounds of VEG S6; VEG S7 also allows for salvage activities within </w:t>
      </w:r>
      <w:r>
        <w:lastRenderedPageBreak/>
        <w:t>high-quality habitat.</w:t>
      </w:r>
      <w:r>
        <w:rPr>
          <w:rStyle w:val="FootnoteReference"/>
        </w:rPr>
        <w:footnoteReference w:id="58"/>
      </w:r>
      <w:r>
        <w:t xml:space="preserve"> It may restrict the salvage activities in high-quality lynx habitat, but VEG S7 </w:t>
      </w:r>
      <w:r w:rsidR="00735AB0">
        <w:t xml:space="preserve">is </w:t>
      </w:r>
      <w:r>
        <w:t>also silent on other potential harvest activities.</w:t>
      </w:r>
    </w:p>
    <w:p w14:paraId="5CB8AC83" w14:textId="06BE8458" w:rsidR="004C0DA0" w:rsidRDefault="00735AB0" w:rsidP="0011739D">
      <w:pPr>
        <w:pStyle w:val="TLPCDMCACommentParagaraphStyle"/>
      </w:pPr>
      <w:r>
        <w:t xml:space="preserve">Permitting salvage harvest in lynx habitat is no small intrusion. </w:t>
      </w:r>
      <w:r w:rsidR="003C3CE5">
        <w:t xml:space="preserve">The Colorado Forest Restoration Institute at Colorado State University has conducted a six-year monitoring term of the GMUG </w:t>
      </w:r>
      <w:r>
        <w:t>N</w:t>
      </w:r>
      <w:r w:rsidR="003C3CE5">
        <w:t xml:space="preserve">ational </w:t>
      </w:r>
      <w:r>
        <w:t>F</w:t>
      </w:r>
      <w:r w:rsidR="003C3CE5">
        <w:t xml:space="preserve">orest. A subset of this group, the </w:t>
      </w:r>
      <w:r w:rsidR="003C3CE5" w:rsidRPr="00BD4260">
        <w:t>Spruce Beetle Epidemic &amp; Aspen Decline Management Response team</w:t>
      </w:r>
      <w:r w:rsidR="003C3CE5">
        <w:t>, stated that this monitoring process resulted in a finding that “</w:t>
      </w:r>
      <w:r w:rsidR="003C3CE5" w:rsidRPr="003D4034">
        <w:t>snowshoe hare (a prime prey source for the Canada lynx) abundance appears to be lowest in salvaged areas</w:t>
      </w:r>
      <w:r w:rsidR="003C3CE5">
        <w:t>…”</w:t>
      </w:r>
      <w:r w:rsidR="003C3CE5">
        <w:rPr>
          <w:rStyle w:val="FootnoteReference"/>
        </w:rPr>
        <w:footnoteReference w:id="59"/>
      </w:r>
      <w:r w:rsidR="003C3CE5">
        <w:t xml:space="preserve"> This group concluded that “</w:t>
      </w:r>
      <w:r w:rsidR="003C3CE5" w:rsidRPr="00D86D60">
        <w:t>It is important to continue to avoid salvage activities in high-quality Canada lynx habitat.</w:t>
      </w:r>
      <w:r w:rsidR="003C3CE5">
        <w:t>”</w:t>
      </w:r>
      <w:r w:rsidR="003C3CE5">
        <w:rPr>
          <w:rStyle w:val="FootnoteReference"/>
        </w:rPr>
        <w:footnoteReference w:id="60"/>
      </w:r>
      <w:r w:rsidR="0011739D">
        <w:t xml:space="preserve"> </w:t>
      </w:r>
      <w:r w:rsidR="004F38B7">
        <w:rPr>
          <w:rFonts w:asciiTheme="minorHAnsi" w:hAnsiTheme="minorHAnsi" w:cstheme="minorHAnsi"/>
        </w:rPr>
        <w:t>This is not an isolated opinion. I</w:t>
      </w:r>
      <w:r w:rsidR="004C0DA0">
        <w:rPr>
          <w:rFonts w:asciiTheme="minorHAnsi" w:hAnsiTheme="minorHAnsi" w:cstheme="minorHAnsi"/>
        </w:rPr>
        <w:t>n a 2017 meta-analysis of the literature on the impacts of salvage logging, one research group found that “</w:t>
      </w:r>
      <w:r w:rsidR="004C0DA0">
        <w:t>salvage logging is not consistent with the management objectives of protected areas. Substantial changes, such as the retention of dead wood in naturally disturbed forests, are needed to support biodiversity.”</w:t>
      </w:r>
      <w:r w:rsidR="004C0DA0">
        <w:rPr>
          <w:rStyle w:val="FootnoteReference"/>
        </w:rPr>
        <w:footnoteReference w:id="61"/>
      </w:r>
      <w:r w:rsidR="007E3163">
        <w:t xml:space="preserve"> The authors go on to state that “salvage logging should be excluded from protected areas.”</w:t>
      </w:r>
      <w:r w:rsidR="005A72C4">
        <w:rPr>
          <w:rStyle w:val="FootnoteReference"/>
        </w:rPr>
        <w:footnoteReference w:id="62"/>
      </w:r>
    </w:p>
    <w:p w14:paraId="384360D3" w14:textId="03BB5152" w:rsidR="003C3CE5" w:rsidRDefault="003C3CE5" w:rsidP="00611E88">
      <w:pPr>
        <w:pStyle w:val="TLPCDMCACommentParagaraphStyle"/>
      </w:pPr>
      <w:r>
        <w:t xml:space="preserve">VEG S7’s provision allowing salvage in high-quality lynx habitat runs directly contrary to these findings. If the USFS’s aim is truly to protect lynx habitat (as it is obligated to do under the SRLA), then VEG S7 should contain no provision permitting salvage in these areas. Permitting salvage and protecting habitat within the same Standard is not necessary; the USFS may merely propose a standard that includes the protective components of proposed VEG S7 and omits the language permitting salvage. These two ideas are in many ways directly opposed and should not be tied together under a Standard that </w:t>
      </w:r>
      <w:r w:rsidR="005C7791">
        <w:t xml:space="preserve">is </w:t>
      </w:r>
      <w:r>
        <w:t>characterize</w:t>
      </w:r>
      <w:r w:rsidR="005C7791">
        <w:t>d</w:t>
      </w:r>
      <w:r>
        <w:t xml:space="preserve"> as conservation focused.</w:t>
      </w:r>
    </w:p>
    <w:p w14:paraId="454A954A" w14:textId="5584CF66" w:rsidR="00E7687E" w:rsidRDefault="00E7687E" w:rsidP="00F660A7">
      <w:pPr>
        <w:pStyle w:val="TLPCDMCACommentParagaraphStyle"/>
      </w:pPr>
      <w:r>
        <w:lastRenderedPageBreak/>
        <w:t>As a practical concern, the Forest Service’s interest in the addition of VEG S7 is perplexing given the amount of land at issue. The GMUG DEIS notes that VEG S7 is “designed to limit harvest in high quality lynx habitat within identified lynx highly selected use areas. Highly selected use areas mapped on the GMUG National Forest comprise about 10,600 acres on the Gunnison Ranger District south and southwest of the town of Lake City.”</w:t>
      </w:r>
      <w:r>
        <w:rPr>
          <w:rStyle w:val="FootnoteReference"/>
        </w:rPr>
        <w:footnoteReference w:id="63"/>
      </w:r>
      <w:r>
        <w:t xml:space="preserve"> If the area that would be subject to the proposed VEG S7 is so small, why is the USFS so intent on VEG S7’s inclusion of the provision allowing for salvage harvest on up to 7% of </w:t>
      </w:r>
      <w:r w:rsidRPr="00EA3E0E">
        <w:t>this area?</w:t>
      </w:r>
      <w:r>
        <w:t xml:space="preserve"> The Forest Service should provide additional detail on the rationale behind its recommendation of VEG S7 as it pertains to the salvage harvest portion of the Standard.</w:t>
      </w:r>
    </w:p>
    <w:p w14:paraId="426AB68C" w14:textId="77777777" w:rsidR="00420055" w:rsidRDefault="003C3CE5" w:rsidP="00420055">
      <w:pPr>
        <w:pStyle w:val="TLPCDMCACommentParagaraphStyle"/>
      </w:pPr>
      <w:r>
        <w:t>The removal of VEG S6 also cannot be adequately justified by the USFS’s timber program. The GMUG DEIS states that the removal of VEG S6 would “have a minimal effect on the timber program.”</w:t>
      </w:r>
      <w:r>
        <w:rPr>
          <w:rStyle w:val="FootnoteReference"/>
        </w:rPr>
        <w:footnoteReference w:id="64"/>
      </w:r>
      <w:r>
        <w:t xml:space="preserve"> The very next sentence notes that the exclusion of VEG S6 under Alternative C “would have a beneficial effect on the timber program … as this is one Southern Rockies Lynx Amendment limit that the GMUG is coming closer to and may arrive at in the next decade, with about 2,300 acres left under the Veg S6 cap.”</w:t>
      </w:r>
      <w:r>
        <w:rPr>
          <w:rStyle w:val="FootnoteReference"/>
        </w:rPr>
        <w:footnoteReference w:id="65"/>
      </w:r>
      <w:r w:rsidR="00944232">
        <w:t xml:space="preserve"> </w:t>
      </w:r>
      <w:r w:rsidR="00420055">
        <w:t xml:space="preserve">Similar to the above discussion regarding to the removal of VEG S2, justifying the removal of a Standard, even in part, by saying that it is close to being met is a tepid argument. The purpose of the cap is clearly to limit the timber program for conservation purposes. Removing caps on FS logging activity would obviously benefit the timber program. However, given that the GMUG DEIS admits that the removal of VEG S6 would have a </w:t>
      </w:r>
      <w:r w:rsidR="00420055" w:rsidRPr="00462909">
        <w:rPr>
          <w:i/>
          <w:iCs/>
        </w:rPr>
        <w:t>minimal</w:t>
      </w:r>
      <w:r w:rsidR="00420055">
        <w:t xml:space="preserve"> impact on the timber program, its removal is hardly backed up by an argument of necessity.</w:t>
      </w:r>
    </w:p>
    <w:p w14:paraId="3E4E7BF1" w14:textId="051A0BA9" w:rsidR="003C3CE5" w:rsidRDefault="00944232" w:rsidP="00D02E04">
      <w:pPr>
        <w:pStyle w:val="TLPCDMCACommentParagaraphStyle"/>
      </w:pPr>
      <w:r>
        <w:t xml:space="preserve">It appears that at best, the removal of VEG S6 and </w:t>
      </w:r>
      <w:r w:rsidR="00E2745B">
        <w:t xml:space="preserve">addition of VEG </w:t>
      </w:r>
      <w:r>
        <w:t>S7 will result in less covered area than would be present with both standards in place</w:t>
      </w:r>
      <w:r w:rsidR="00831A90">
        <w:t xml:space="preserve"> and a negligible improvement to the timber program</w:t>
      </w:r>
      <w:r>
        <w:t>. If VEG S7 is even partially intended to “patch up” new holes in the protection offered by VEG S6 as the Forest Service asserts, it is obvious that substituting VEG S6 with VEG S7 cannot achieve this.</w:t>
      </w:r>
      <w:r w:rsidR="00D02E04">
        <w:t xml:space="preserve"> If </w:t>
      </w:r>
      <w:r w:rsidR="00E2745B">
        <w:t>VEG S7’s</w:t>
      </w:r>
      <w:r w:rsidR="00D02E04">
        <w:t xml:space="preserve"> purpose is to provide its own protections in isolation from VEG S6, the GMUG DEIS does not indicate</w:t>
      </w:r>
      <w:r w:rsidR="000F2154">
        <w:t xml:space="preserve"> a scientifically sound basis for </w:t>
      </w:r>
      <w:r w:rsidR="008344AA">
        <w:t>why allowing salvage harvest in high quality lynx habitat is a necessary component of that standard</w:t>
      </w:r>
      <w:r w:rsidR="000F2154">
        <w:t>.</w:t>
      </w:r>
    </w:p>
    <w:p w14:paraId="0BF283FD" w14:textId="0891376A" w:rsidR="003C3CE5" w:rsidRPr="00D633C9" w:rsidRDefault="003C3CE5" w:rsidP="00D633C9">
      <w:pPr>
        <w:pStyle w:val="TLPCDMCACommentParagaraphStyle"/>
      </w:pPr>
      <w:r>
        <w:t>The GMUG DEIS also states that the removal of VEG S6 “would result in a reduced administrative burden.”</w:t>
      </w:r>
      <w:r>
        <w:rPr>
          <w:rStyle w:val="FootnoteReference"/>
        </w:rPr>
        <w:footnoteReference w:id="66"/>
      </w:r>
      <w:r>
        <w:t xml:space="preserve"> This argument for removing VEG S6 is no more compelling than </w:t>
      </w:r>
      <w:r>
        <w:lastRenderedPageBreak/>
        <w:t xml:space="preserve">the identical argument for removing VEG S2. Positive side effects of the removal of a vegetation management standard </w:t>
      </w:r>
      <w:r w:rsidR="00AC2718">
        <w:t>should of course be considered.</w:t>
      </w:r>
      <w:r>
        <w:t xml:space="preserve"> </w:t>
      </w:r>
      <w:r w:rsidR="00AC2718">
        <w:t>However,</w:t>
      </w:r>
      <w:r>
        <w:t xml:space="preserve"> when this argument is taken in combination with the other shortcomings discussed in this section, the </w:t>
      </w:r>
      <w:r w:rsidR="005B706F">
        <w:t xml:space="preserve">justifications for </w:t>
      </w:r>
      <w:r>
        <w:t xml:space="preserve">the removal of </w:t>
      </w:r>
      <w:r w:rsidR="005B706F">
        <w:t xml:space="preserve">VEG </w:t>
      </w:r>
      <w:r>
        <w:t xml:space="preserve">S6 </w:t>
      </w:r>
      <w:r w:rsidR="005B706F">
        <w:t>are</w:t>
      </w:r>
      <w:r>
        <w:t xml:space="preserve"> often directly opposed to the USFS’s ostensible goal of protecting lynx habitat with little to no resulting benefit to counterbalance the likely harms.</w:t>
      </w:r>
    </w:p>
    <w:p w14:paraId="4F1110A8" w14:textId="69C8EE0D" w:rsidR="009830DE" w:rsidRDefault="000D6457" w:rsidP="009830DE">
      <w:pPr>
        <w:pStyle w:val="Heading2"/>
      </w:pPr>
      <w:bookmarkStart w:id="13" w:name="_Toc88752727"/>
      <w:r>
        <w:t xml:space="preserve">E. </w:t>
      </w:r>
      <w:r w:rsidR="001C4941">
        <w:t>Alternative C’s removal of VEG S5 cannot be adequately justified.</w:t>
      </w:r>
      <w:bookmarkEnd w:id="13"/>
    </w:p>
    <w:p w14:paraId="3053BE53" w14:textId="3B3F841C" w:rsidR="009830DE" w:rsidRDefault="009830DE" w:rsidP="001C4941">
      <w:pPr>
        <w:pStyle w:val="TLPCDMCACommentParagaraphStyle"/>
      </w:pPr>
      <w:r>
        <w:t>The removal of VEG S5 under proposed Alternative C will have foreseeable negative impacts on snowshoe hare habitat, placing further strain on lynx populations as a result. The Southern Rockies Lynx Amendment Record of Decision explicitly notes the negative effects that would result from a lack of the sort of protection offered by VEG S5, stating that “Standard VEG S5 applies to precommercial thinning, which is the predominant activity in young regenerating forests that has a direct effect in reducing winter snowshoe hare habitat.”</w:t>
      </w:r>
      <w:r>
        <w:rPr>
          <w:rStyle w:val="FootnoteReference"/>
        </w:rPr>
        <w:footnoteReference w:id="67"/>
      </w:r>
    </w:p>
    <w:p w14:paraId="3BE54D72" w14:textId="3AD3FA5C" w:rsidR="009830DE" w:rsidRDefault="009830DE" w:rsidP="00D633C9">
      <w:pPr>
        <w:pStyle w:val="TLPCDMCACommentParagaraphStyle"/>
      </w:pPr>
      <w:r>
        <w:t>The SRLA ROD noted that “No change in annual timber outputs is expected [as a result of VEG S5], although this standard may influence what material is harvested and where.”</w:t>
      </w:r>
      <w:r>
        <w:rPr>
          <w:rStyle w:val="FootnoteReference"/>
        </w:rPr>
        <w:footnoteReference w:id="68"/>
      </w:r>
      <w:r>
        <w:t xml:space="preserve"> The GMUG DEIS concurs with the SRLA, noting that the removal or implementation of VEG S5 “will have a minimal effect on the timber program.”</w:t>
      </w:r>
      <w:r>
        <w:rPr>
          <w:rStyle w:val="FootnoteReference"/>
        </w:rPr>
        <w:footnoteReference w:id="69"/>
      </w:r>
      <w:r>
        <w:t xml:space="preserve"> Given the consonance between the SRLA and the GMUG DEIS, there appears to be agreement that removal of VEG S5 cannot be justified by beneficial effects on the timber program. The GMUG DEIS offers no additional or alternative justifications for the removal of VEG S5, and as such, removal of this Standard serves no purpose other than to expose lynx habitat to more negative impacts.</w:t>
      </w:r>
    </w:p>
    <w:p w14:paraId="66D8DEF6" w14:textId="7E46F15F" w:rsidR="009830DE" w:rsidRDefault="000D6457" w:rsidP="009830DE">
      <w:pPr>
        <w:pStyle w:val="Heading2"/>
      </w:pPr>
      <w:bookmarkStart w:id="14" w:name="_Toc88752728"/>
      <w:r>
        <w:t xml:space="preserve">F. </w:t>
      </w:r>
      <w:r w:rsidR="00D24311">
        <w:t xml:space="preserve">Alternative D’s inclusion of VEG S8 aligns with the Forest Service’s legal obligations to </w:t>
      </w:r>
      <w:r w:rsidR="006C6591">
        <w:t>make decisions based on the best available scientific information.</w:t>
      </w:r>
      <w:bookmarkEnd w:id="14"/>
    </w:p>
    <w:p w14:paraId="6793C102" w14:textId="2A97E1ED" w:rsidR="009830DE" w:rsidRPr="00D24311" w:rsidRDefault="009830DE" w:rsidP="00D24311">
      <w:pPr>
        <w:pStyle w:val="TLPCDMCACommentParagaraphStyle"/>
      </w:pPr>
      <w:r>
        <w:t>In contrast to the problematic proposal to substitute VEG S6 with VEG S7 under Alternative C, the proposal of VEG S8 under the GMUG DEIS clearly benefits lynx conservation, and is a strong argument in favor of the adoption of Alternative D.</w:t>
      </w:r>
    </w:p>
    <w:p w14:paraId="4B6E7371" w14:textId="3CE32D43" w:rsidR="009830DE" w:rsidRDefault="009830DE" w:rsidP="00EF6821">
      <w:pPr>
        <w:pStyle w:val="TLPCDMCACommentParagaraphStyle"/>
      </w:pPr>
      <w:r>
        <w:t xml:space="preserve">As discussed above, one justification for the addition of VEG S7 in Alternative B is that VEG S7 helps protect lynx habitat that is no longer within the coverage of VEG S6 thanks to spruce beetle destruction of multi-story forest conditions. A core concern with VEG S7 is its permissive approach to salvage activity in high-quality lynx habitat. VEG S8 adequately addresses this concern by unequivocally prohibiting salvage activity of any </w:t>
      </w:r>
      <w:r>
        <w:lastRenderedPageBreak/>
        <w:t>kind within high-quality lynx habitat. The positive aspects of Alternative D extend even further, with the GMUG DEIS noting that “there is no planned salvage harvest under alternative D,”</w:t>
      </w:r>
      <w:r>
        <w:rPr>
          <w:rStyle w:val="FootnoteReference"/>
        </w:rPr>
        <w:footnoteReference w:id="70"/>
      </w:r>
      <w:r>
        <w:t xml:space="preserve"> and that “VEG S8 in Alternative D likewise applies to lynx habitat that no longer meets the VEG S6 definition, but restricts all harvest rather than just salvage.”</w:t>
      </w:r>
      <w:r>
        <w:rPr>
          <w:rStyle w:val="FootnoteReference"/>
        </w:rPr>
        <w:footnoteReference w:id="71"/>
      </w:r>
    </w:p>
    <w:p w14:paraId="04731C4B" w14:textId="6A5877EC" w:rsidR="009830DE" w:rsidRPr="000F21BB" w:rsidRDefault="00EF6821" w:rsidP="000F21BB">
      <w:pPr>
        <w:pStyle w:val="TLPCDMCACommentParagaraphStyle"/>
        <w:rPr>
          <w:rFonts w:asciiTheme="minorHAnsi" w:hAnsiTheme="minorHAnsi" w:cstheme="minorHAnsi"/>
        </w:rPr>
      </w:pPr>
      <w:r>
        <w:t>The above discussion</w:t>
      </w:r>
      <w:r w:rsidR="009830DE">
        <w:t xml:space="preserve"> l</w:t>
      </w:r>
      <w:r>
        <w:t>a</w:t>
      </w:r>
      <w:r w:rsidR="009830DE">
        <w:t>y</w:t>
      </w:r>
      <w:r>
        <w:t>s</w:t>
      </w:r>
      <w:r w:rsidR="009830DE">
        <w:t xml:space="preserve"> out several concerns with the damaging effects that salvage activities have on lynx habitat, and it is therefore no surprise that an Alternative precluding salvage activities altogether is a more appealing option. Additionally, Alternative D will apply all original Southern Rockies Lynx Amendment standards as well,</w:t>
      </w:r>
      <w:r w:rsidR="009830DE">
        <w:rPr>
          <w:rStyle w:val="FootnoteReference"/>
        </w:rPr>
        <w:footnoteReference w:id="72"/>
      </w:r>
      <w:r w:rsidR="009830DE">
        <w:t xml:space="preserve"> another strong argument for the adoption of this Alternative.</w:t>
      </w:r>
      <w:r w:rsidR="009830DE">
        <w:rPr>
          <w:rFonts w:asciiTheme="minorHAnsi" w:hAnsiTheme="minorHAnsi" w:cstheme="minorHAnsi"/>
        </w:rPr>
        <w:t xml:space="preserve"> </w:t>
      </w:r>
      <w:r w:rsidR="009830DE">
        <w:t>It is with good reason that the GMUG DEIS explicitly states that “Alternative D would have the greatest conservation benefit to lynx.”</w:t>
      </w:r>
      <w:r w:rsidR="009830DE">
        <w:rPr>
          <w:rStyle w:val="FootnoteReference"/>
        </w:rPr>
        <w:footnoteReference w:id="73"/>
      </w:r>
      <w:r w:rsidR="009830DE">
        <w:t xml:space="preserve"> </w:t>
      </w:r>
      <w:r w:rsidR="00E961FD">
        <w:t xml:space="preserve">Given that it represents a good faith effort to base a recommendation on the best available scientific information on lynx conservation, </w:t>
      </w:r>
      <w:r w:rsidR="009830DE">
        <w:t>we recommend that the USFS adopt Alternative D.</w:t>
      </w:r>
    </w:p>
    <w:p w14:paraId="79A72FF2" w14:textId="0478BE0F" w:rsidR="003C3CE5" w:rsidRDefault="00ED788C" w:rsidP="00C772A1">
      <w:pPr>
        <w:pStyle w:val="Heading1"/>
        <w:numPr>
          <w:ilvl w:val="0"/>
          <w:numId w:val="4"/>
        </w:numPr>
      </w:pPr>
      <w:bookmarkStart w:id="15" w:name="_Toc88752729"/>
      <w:r>
        <w:t xml:space="preserve">The USFS’s reliance on forthcoming habitat maps </w:t>
      </w:r>
      <w:r w:rsidR="002E09F9">
        <w:t>requires further elaboration</w:t>
      </w:r>
      <w:r w:rsidR="00A55765">
        <w:t>.</w:t>
      </w:r>
      <w:bookmarkEnd w:id="15"/>
    </w:p>
    <w:p w14:paraId="03E1F7E6" w14:textId="31D56AD8" w:rsidR="00E90007" w:rsidRDefault="00A55765" w:rsidP="00AA3A0A">
      <w:pPr>
        <w:pStyle w:val="TLPCDMCACommentParagaraphStyle"/>
      </w:pPr>
      <w:r>
        <w:t xml:space="preserve">In the GMUG DEIS, the Forest Service makes mention of “forthcoming” lynx habitat maps, and </w:t>
      </w:r>
      <w:r w:rsidR="00C374DD">
        <w:t xml:space="preserve">tacitly acknowledges that these maps are being used in the DEIS’s alternatives analysis despite not being </w:t>
      </w:r>
      <w:r w:rsidR="00AA3A0A">
        <w:t xml:space="preserve">finalized or publicly available. </w:t>
      </w:r>
      <w:r w:rsidR="005D63BD">
        <w:t>The DEIS states that</w:t>
      </w:r>
      <w:r w:rsidR="00E90007">
        <w:t xml:space="preserve"> “Based on lynx habitat mapping currently being modeled for the Southern Rockies by the Interagency Lynx Biology Team, we identified lynx use areas in the GMUG based on best available science (Theobald and Shenk 2011) that are likely to align with the forthcoming habitat mapping. We use the lynx use areas as a proxy for high-quality habitat in this analysis of the action alternatives, reflecting our current best estimate on where we will focus lynx habitat management and conservation.”</w:t>
      </w:r>
      <w:r w:rsidR="00E90007">
        <w:rPr>
          <w:rStyle w:val="FootnoteReference"/>
        </w:rPr>
        <w:footnoteReference w:id="74"/>
      </w:r>
    </w:p>
    <w:p w14:paraId="735280C7" w14:textId="3D9C14BE" w:rsidR="00AA3A0A" w:rsidRDefault="00AA3A0A" w:rsidP="00AA3A0A">
      <w:pPr>
        <w:pStyle w:val="TLPCDMCACommentParagaraphStyle"/>
      </w:pPr>
      <w:r>
        <w:t>If the Forest Service wishes to base its recommendations for the land use plan on forthcoming maps, further detail on the process by which that recommendation is determined is required. The GMUG DEIS states that “All alternatives apply the Southern Rockies Lynx Amendment direction to the most currently available lynx habitat mapping.”</w:t>
      </w:r>
      <w:r>
        <w:rPr>
          <w:rStyle w:val="FootnoteReference"/>
        </w:rPr>
        <w:footnoteReference w:id="75"/>
      </w:r>
      <w:r>
        <w:t xml:space="preserve"> However, the DEIS also makes reference to forthcoming habitat maps that are </w:t>
      </w:r>
      <w:r>
        <w:lastRenderedPageBreak/>
        <w:t xml:space="preserve">discussed in no </w:t>
      </w:r>
      <w:r w:rsidR="00B877A8">
        <w:t>detail yet</w:t>
      </w:r>
      <w:r>
        <w:t xml:space="preserve"> are still referred to as having an impact on the Forest Service’s analysis of lynx habitat conservation.</w:t>
      </w:r>
    </w:p>
    <w:p w14:paraId="36206202" w14:textId="0E157C30" w:rsidR="006F4959" w:rsidRDefault="00924532" w:rsidP="00E90007">
      <w:pPr>
        <w:pStyle w:val="TLPCDMCACommentParagaraphStyle"/>
      </w:pPr>
      <w:r>
        <w:t>If the Forest Service is basing recommendations on a</w:t>
      </w:r>
      <w:r w:rsidR="006203DA">
        <w:t xml:space="preserve">n “in progress” version of these forthcoming maps, surely that process </w:t>
      </w:r>
      <w:r w:rsidR="00CC757F">
        <w:t>would benefit from further elaboration within the DEIS or other related documents</w:t>
      </w:r>
      <w:r w:rsidR="006203DA">
        <w:t>. How is the assertion that</w:t>
      </w:r>
      <w:r w:rsidR="0026112F">
        <w:t xml:space="preserve"> certain lynx use areas “are likely to align with the forthcoming habitat mapping” justified? What about the forthcoming maps leads to this decision?</w:t>
      </w:r>
      <w:r w:rsidR="006F4959">
        <w:t xml:space="preserve"> </w:t>
      </w:r>
      <w:r w:rsidR="00654733">
        <w:t>If the analysis here</w:t>
      </w:r>
      <w:r w:rsidR="00977687">
        <w:t xml:space="preserve"> </w:t>
      </w:r>
      <w:r w:rsidR="00654733">
        <w:t>“reflects our consideration of ongoing science of lynx conservation and management</w:t>
      </w:r>
      <w:r w:rsidR="00977687">
        <w:t>,”</w:t>
      </w:r>
      <w:r w:rsidR="003205B6">
        <w:rPr>
          <w:rStyle w:val="FootnoteReference"/>
        </w:rPr>
        <w:footnoteReference w:id="76"/>
      </w:r>
      <w:r w:rsidR="00977687">
        <w:t xml:space="preserve"> more information on that process would surely </w:t>
      </w:r>
      <w:r w:rsidR="00585CDD">
        <w:t>benefit the</w:t>
      </w:r>
      <w:r w:rsidR="00977687">
        <w:t xml:space="preserve"> public’s ability to appropriately evaluate the Alternatives that are being recommended.</w:t>
      </w:r>
    </w:p>
    <w:p w14:paraId="28A28DFD" w14:textId="77777777" w:rsidR="00023D1A" w:rsidRDefault="006F4959" w:rsidP="00801CD2">
      <w:pPr>
        <w:pStyle w:val="TLPCDMCACommentParagaraphStyle"/>
      </w:pPr>
      <w:r>
        <w:t>Perhaps even more concerning, the GMUG DEIS states that “Forthcoming lynx habitat maps are anticipated prior to publication of the final environmental impact statement.”</w:t>
      </w:r>
      <w:r>
        <w:rPr>
          <w:rStyle w:val="FootnoteReference"/>
        </w:rPr>
        <w:footnoteReference w:id="77"/>
      </w:r>
      <w:r w:rsidR="003205B6">
        <w:t xml:space="preserve"> If the Forest Service will be receiving </w:t>
      </w:r>
      <w:r w:rsidR="008D5E86">
        <w:t>updated maps that can materially impact the amount of land covered by the various VEG Standards, releasi</w:t>
      </w:r>
      <w:r w:rsidR="008F2433">
        <w:t>ng recommendations prior to the receipt of that updated information seems to undercut the reliability of those proposals.</w:t>
      </w:r>
      <w:r w:rsidR="003E031F">
        <w:t xml:space="preserve"> The DEIS notes that “The high-probability lynx use area on the GMUG is approximately 10,600 acres. While this is a relatively small area, the area that Veg S7 applies to may be expanded once the modified lynx habitat map is finalized.</w:t>
      </w:r>
      <w:r w:rsidR="0083656F">
        <w:t>”</w:t>
      </w:r>
      <w:r w:rsidR="0083656F">
        <w:rPr>
          <w:rStyle w:val="FootnoteReference"/>
        </w:rPr>
        <w:footnoteReference w:id="78"/>
      </w:r>
      <w:r w:rsidR="0083656F">
        <w:t xml:space="preserve"> VEG S7 includes a provision allowing for salvage harvest on a certain percentage of the area covered by VEG S7. If </w:t>
      </w:r>
      <w:r w:rsidR="00C1333B">
        <w:t>the area covered by VEG S7 expands, it necessarily follows that the acreage that is available for salvage harvest in high quality lynx habitat expands with it.</w:t>
      </w:r>
      <w:r w:rsidR="003D5383">
        <w:t xml:space="preserve"> </w:t>
      </w:r>
    </w:p>
    <w:p w14:paraId="4CF0BE56" w14:textId="47F2BA79" w:rsidR="00801CD2" w:rsidRDefault="003D5383" w:rsidP="009B5F8B">
      <w:pPr>
        <w:pStyle w:val="TLPCDMCACommentParagaraphStyle"/>
      </w:pPr>
      <w:r>
        <w:t>This is far from a minor impact, given that the amount of lynx habitat at issue is already so small.</w:t>
      </w:r>
      <w:r w:rsidR="00877F85">
        <w:t xml:space="preserve"> If there is a significant chance that the forthcoming lynx habitat maps can have this kind of impact on the proposed VEG Standards</w:t>
      </w:r>
      <w:r w:rsidR="00A63EF0">
        <w:t xml:space="preserve"> as applied, the Forest Service should provide the “in </w:t>
      </w:r>
      <w:r w:rsidR="00023D1A">
        <w:t>progress</w:t>
      </w:r>
      <w:r w:rsidR="00A63EF0">
        <w:t xml:space="preserve">” information it is using to make its recommendations so that it can be evaluated. </w:t>
      </w:r>
      <w:r w:rsidR="00187A56">
        <w:t>The Forest Service is under a legal obligation to use the “best available scientific information” in its decision</w:t>
      </w:r>
      <w:r w:rsidR="00F04E09">
        <w:t>-</w:t>
      </w:r>
      <w:r w:rsidR="00187A56">
        <w:t xml:space="preserve">making, and it is heartening to known that there is </w:t>
      </w:r>
      <w:r w:rsidR="005E4BB0">
        <w:t xml:space="preserve">more current mapping being done (especially given that the information that </w:t>
      </w:r>
      <w:r w:rsidR="009B5F8B">
        <w:t>some of the information the DEIS</w:t>
      </w:r>
      <w:r w:rsidR="005E4BB0">
        <w:t xml:space="preserve"> </w:t>
      </w:r>
      <w:r w:rsidR="003A003B">
        <w:t>refers to is from a decade ago).</w:t>
      </w:r>
      <w:r w:rsidR="005E4BB0">
        <w:t xml:space="preserve"> However, c</w:t>
      </w:r>
      <w:r w:rsidR="00A63EF0">
        <w:t xml:space="preserve">abining </w:t>
      </w:r>
      <w:r w:rsidR="005E6B76">
        <w:t xml:space="preserve">the </w:t>
      </w:r>
      <w:r w:rsidR="003A003B">
        <w:t xml:space="preserve">“forthcoming” </w:t>
      </w:r>
      <w:r w:rsidR="005E6B76">
        <w:t xml:space="preserve">data being used for </w:t>
      </w:r>
      <w:r w:rsidR="00074090">
        <w:t xml:space="preserve">analysis within the GMUG DEIS </w:t>
      </w:r>
      <w:r w:rsidR="005E6B76">
        <w:t>(</w:t>
      </w:r>
      <w:r w:rsidR="00074090">
        <w:t>data that</w:t>
      </w:r>
      <w:r w:rsidR="005E6B76">
        <w:t xml:space="preserve"> won’t even be available to the public until after the comment period has closed)</w:t>
      </w:r>
      <w:r w:rsidR="00801CD2">
        <w:t xml:space="preserve"> is a concerning decision, and casts </w:t>
      </w:r>
      <w:r w:rsidR="009B5F8B">
        <w:t xml:space="preserve">serious </w:t>
      </w:r>
      <w:r w:rsidR="00801CD2">
        <w:t>doubt on the reliability of the recommendations being made in the DEIS.</w:t>
      </w:r>
    </w:p>
    <w:p w14:paraId="2C3BC2C4" w14:textId="2A70B7D0" w:rsidR="00801CD2" w:rsidRDefault="00801CD2" w:rsidP="00EF6821">
      <w:pPr>
        <w:pStyle w:val="Heading1"/>
        <w:numPr>
          <w:ilvl w:val="0"/>
          <w:numId w:val="4"/>
        </w:numPr>
      </w:pPr>
      <w:bookmarkStart w:id="16" w:name="_Toc88752730"/>
      <w:r>
        <w:lastRenderedPageBreak/>
        <w:t>Conclusion</w:t>
      </w:r>
      <w:r w:rsidR="00ED190D">
        <w:t>.</w:t>
      </w:r>
      <w:bookmarkEnd w:id="16"/>
    </w:p>
    <w:p w14:paraId="0E3DAF22" w14:textId="77777777" w:rsidR="000D2B08" w:rsidRDefault="00801CD2" w:rsidP="002D329C">
      <w:pPr>
        <w:pStyle w:val="TLPCDMCACommentParagaraphStyle"/>
      </w:pPr>
      <w:r>
        <w:t>T</w:t>
      </w:r>
      <w:r w:rsidR="006B4031">
        <w:t>he GMUG Draft Environmental Impact Statement</w:t>
      </w:r>
      <w:r w:rsidR="00363BDD">
        <w:t xml:space="preserve"> presents</w:t>
      </w:r>
      <w:r w:rsidR="00E85E69">
        <w:t xml:space="preserve"> a number of areas of concern</w:t>
      </w:r>
      <w:r w:rsidR="006B4031">
        <w:t>. Alternative C is in extreme tension with the legal obligations placed upon the Forest Service by the 2012 Planning Rule, Executive Order</w:t>
      </w:r>
      <w:r w:rsidR="00E85E69">
        <w:t xml:space="preserve"> </w:t>
      </w:r>
      <w:r w:rsidR="00E85E69" w:rsidRPr="00E85E69">
        <w:t>12866</w:t>
      </w:r>
      <w:r w:rsidR="00E85E69">
        <w:t>, and the National Environmental Protection Act.</w:t>
      </w:r>
      <w:r w:rsidR="002D329C">
        <w:t xml:space="preserve"> </w:t>
      </w:r>
      <w:r w:rsidR="00991963">
        <w:t xml:space="preserve">The removal of VEG Standards S2, S5, S6, and the addition of VEG Standard S7 all present notable issues when considered in light of the Forest Service’s </w:t>
      </w:r>
      <w:r w:rsidR="001F5992">
        <w:t>obligation to make evaluations and recommendations based on the best available scientific information. VEG S2</w:t>
      </w:r>
      <w:r w:rsidR="00AF2146">
        <w:t xml:space="preserve"> provides critical habitat protection, and this protection is explicitly acknowledged in </w:t>
      </w:r>
      <w:r w:rsidR="00C47D7D">
        <w:t>documents that the DEIS itself categorizes as the “best available scientific information.” Removal of VEG S2 is</w:t>
      </w:r>
      <w:r w:rsidR="00757B82">
        <w:t xml:space="preserve"> contrary to this information, and Alternative C’s inclusion of this recommendation </w:t>
      </w:r>
      <w:r w:rsidR="00A97D55">
        <w:t xml:space="preserve">cuts in favor of setting aside Alternative C. </w:t>
      </w:r>
    </w:p>
    <w:p w14:paraId="1473889D" w14:textId="1631C420" w:rsidR="00801CD2" w:rsidRDefault="00A97D55" w:rsidP="002D329C">
      <w:pPr>
        <w:pStyle w:val="TLPCDMCACommentParagaraphStyle"/>
      </w:pPr>
      <w:r>
        <w:t xml:space="preserve">VEG S6 presents a more complex scenario given that changing forest conditions have altered the forest </w:t>
      </w:r>
      <w:r w:rsidR="00500166">
        <w:t>area it covers. Supplementing VEG S6 with an additional Standard to help patch up the coverage</w:t>
      </w:r>
      <w:r w:rsidR="001B0F8A">
        <w:t xml:space="preserve"> that is being lost is easily justified. </w:t>
      </w:r>
      <w:r w:rsidR="00075B5E">
        <w:t>T</w:t>
      </w:r>
      <w:r w:rsidR="001B0F8A">
        <w:t>he removal of VEG S6 and its replacement with VEG S7</w:t>
      </w:r>
      <w:r w:rsidR="00075B5E">
        <w:t>, however,</w:t>
      </w:r>
      <w:r w:rsidR="001B0F8A">
        <w:t xml:space="preserve"> is</w:t>
      </w:r>
      <w:r w:rsidR="00075B5E">
        <w:t xml:space="preserve"> not. VEG S7 is explicitly acknowledged to cover areas not covered by VEG S6, so when considered in isolation, VEG S7 is</w:t>
      </w:r>
      <w:r w:rsidR="00C1609F">
        <w:t xml:space="preserve"> not a replacement for VEG S6. For similar reasons, Alternative C’s removal of VEG S5 cannot be justified based on the best available scientific information. Alternative D acknowledges some of the shortcomings present in the altered forest conditions and the application of VEG S6, and as such can be considered to be based much more firmly on the best scientific information available to the Forest Service.</w:t>
      </w:r>
    </w:p>
    <w:p w14:paraId="067385F6" w14:textId="00395E9C" w:rsidR="002D329C" w:rsidRDefault="00F11E69" w:rsidP="002D329C">
      <w:pPr>
        <w:pStyle w:val="TLPCDMCACommentParagaraphStyle"/>
      </w:pPr>
      <w:r>
        <w:t>For the foregoing reasons</w:t>
      </w:r>
      <w:r w:rsidR="002D329C">
        <w:t xml:space="preserve">, we urge the Forest Service to </w:t>
      </w:r>
      <w:r w:rsidR="00A0778A">
        <w:t>set aside Alternative C,</w:t>
      </w:r>
      <w:r w:rsidR="004F52F4">
        <w:t xml:space="preserve"> to adopt Alternative D, and to</w:t>
      </w:r>
      <w:r w:rsidR="00A0778A">
        <w:t xml:space="preserve"> provide the public with</w:t>
      </w:r>
      <w:r w:rsidR="004F52F4">
        <w:t xml:space="preserve"> more detail on its recommendation</w:t>
      </w:r>
      <w:r w:rsidR="003A68E4">
        <w:t>s by providing</w:t>
      </w:r>
      <w:r w:rsidR="00A0778A">
        <w:t xml:space="preserve"> in-progress versions of the forthcoming updated lyn</w:t>
      </w:r>
      <w:r w:rsidR="00626654">
        <w:t>x habitat maps</w:t>
      </w:r>
      <w:r w:rsidR="004F52F4">
        <w:t>.</w:t>
      </w:r>
      <w:r w:rsidR="003A68E4">
        <w:rPr>
          <w:rStyle w:val="FootnoteReference"/>
        </w:rPr>
        <w:footnoteReference w:id="79"/>
      </w:r>
      <w:r w:rsidR="004F52F4">
        <w:t xml:space="preserve"> </w:t>
      </w:r>
    </w:p>
    <w:p w14:paraId="1D714917" w14:textId="77FC0394" w:rsidR="00C80D59" w:rsidRDefault="00C80D59" w:rsidP="002D329C">
      <w:pPr>
        <w:pStyle w:val="TLPCDMCACommentParagaraphStyle"/>
      </w:pPr>
      <w:r>
        <w:t xml:space="preserve">A revised and expanded version of this comment will be provided to the USFS via a late submission </w:t>
      </w:r>
      <w:r w:rsidR="00F00CED">
        <w:t xml:space="preserve">in early </w:t>
      </w:r>
      <w:r w:rsidR="00364A5B">
        <w:t>December</w:t>
      </w:r>
      <w:r w:rsidR="00F00CED">
        <w:t xml:space="preserve"> 2021. This </w:t>
      </w:r>
      <w:r w:rsidR="00364A5B">
        <w:t xml:space="preserve">future </w:t>
      </w:r>
      <w:r w:rsidR="00F00CED">
        <w:t xml:space="preserve">expanded version will include analysis of the USFS’s obligations under the Endangered Species Act and the </w:t>
      </w:r>
      <w:r w:rsidR="00364A5B">
        <w:t>tension between those obligations and the</w:t>
      </w:r>
      <w:r w:rsidR="00156222">
        <w:t xml:space="preserve"> proposed Alternatives.</w:t>
      </w:r>
      <w:r w:rsidR="00782B70">
        <w:t xml:space="preserve"> This future expanded comment will be submitted with the understanding that </w:t>
      </w:r>
      <w:r w:rsidR="00E23720">
        <w:t>the USFS may not be able to give it full consideration given its anticipated submission after the close of the comment period.</w:t>
      </w:r>
    </w:p>
    <w:p w14:paraId="35A41A3C" w14:textId="77777777" w:rsidR="002D329C" w:rsidRDefault="002D329C" w:rsidP="00801CD2"/>
    <w:p w14:paraId="5B2B4255" w14:textId="77777777" w:rsidR="002D329C" w:rsidRPr="00801CD2" w:rsidRDefault="002D329C" w:rsidP="00801CD2"/>
    <w:p w14:paraId="75C09310" w14:textId="33FEE6C2" w:rsidR="00964065" w:rsidRPr="000D2B08" w:rsidRDefault="00964065">
      <w:pPr>
        <w:rPr>
          <w:rFonts w:ascii="Charter" w:eastAsiaTheme="minorEastAsia" w:hAnsi="Charter"/>
          <w:kern w:val="16"/>
          <w:sz w:val="24"/>
          <w:szCs w:val="24"/>
        </w:rPr>
      </w:pPr>
    </w:p>
    <w:sectPr w:rsidR="00964065" w:rsidRPr="000D2B08" w:rsidSect="00316B1C">
      <w:footerReference w:type="default" r:id="rId8"/>
      <w:pgSz w:w="12240" w:h="15840"/>
      <w:pgMar w:top="1440" w:right="1728" w:bottom="144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C77C1" w14:textId="77777777" w:rsidR="00AB45D5" w:rsidRDefault="00AB45D5" w:rsidP="00964065">
      <w:pPr>
        <w:spacing w:after="0" w:line="240" w:lineRule="auto"/>
      </w:pPr>
      <w:r>
        <w:separator/>
      </w:r>
    </w:p>
  </w:endnote>
  <w:endnote w:type="continuationSeparator" w:id="0">
    <w:p w14:paraId="7FBDADF3" w14:textId="77777777" w:rsidR="00AB45D5" w:rsidRDefault="00AB45D5" w:rsidP="00964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harter">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8803614"/>
      <w:docPartObj>
        <w:docPartGallery w:val="Page Numbers (Bottom of Page)"/>
        <w:docPartUnique/>
      </w:docPartObj>
    </w:sdtPr>
    <w:sdtEndPr>
      <w:rPr>
        <w:noProof/>
      </w:rPr>
    </w:sdtEndPr>
    <w:sdtContent>
      <w:p w14:paraId="3D3B23F5" w14:textId="30723F8A" w:rsidR="004D2BE9" w:rsidRDefault="004D2BE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64B7BE" w14:textId="77777777" w:rsidR="004D2BE9" w:rsidRDefault="004D2B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7673E" w14:textId="77777777" w:rsidR="00AB45D5" w:rsidRDefault="00AB45D5" w:rsidP="00964065">
      <w:pPr>
        <w:spacing w:after="0" w:line="240" w:lineRule="auto"/>
      </w:pPr>
      <w:r>
        <w:separator/>
      </w:r>
    </w:p>
  </w:footnote>
  <w:footnote w:type="continuationSeparator" w:id="0">
    <w:p w14:paraId="49965B5E" w14:textId="77777777" w:rsidR="00AB45D5" w:rsidRDefault="00AB45D5" w:rsidP="00964065">
      <w:pPr>
        <w:spacing w:after="0" w:line="240" w:lineRule="auto"/>
      </w:pPr>
      <w:r>
        <w:continuationSeparator/>
      </w:r>
    </w:p>
  </w:footnote>
  <w:footnote w:id="1">
    <w:p w14:paraId="2D8EF83C" w14:textId="4F8959E3" w:rsidR="000A585C" w:rsidRDefault="000A585C">
      <w:pPr>
        <w:pStyle w:val="FootnoteText"/>
      </w:pPr>
      <w:r>
        <w:rPr>
          <w:rStyle w:val="FootnoteReference"/>
        </w:rPr>
        <w:footnoteRef/>
      </w:r>
      <w:r>
        <w:t xml:space="preserve"> </w:t>
      </w:r>
      <w:r w:rsidRPr="001A2055">
        <w:rPr>
          <w:rFonts w:ascii="Charter" w:hAnsi="Charter"/>
          <w:sz w:val="24"/>
          <w:szCs w:val="24"/>
        </w:rPr>
        <w:t>This comment will be further expanded through a late additional submission to include coverage of the tension between the proposed Alternatives and the Endangered Species Act.</w:t>
      </w:r>
    </w:p>
  </w:footnote>
  <w:footnote w:id="2">
    <w:p w14:paraId="2734AA47" w14:textId="645B258F" w:rsidR="00964065" w:rsidRPr="00AD25D6" w:rsidRDefault="00964065" w:rsidP="00964065">
      <w:pPr>
        <w:spacing w:line="240" w:lineRule="auto"/>
        <w:rPr>
          <w:rFonts w:ascii="Charter" w:hAnsi="Charter"/>
          <w:color w:val="1155CC"/>
          <w:sz w:val="24"/>
          <w:szCs w:val="24"/>
          <w:u w:val="single"/>
        </w:rPr>
      </w:pPr>
      <w:r w:rsidRPr="00AD25D6">
        <w:rPr>
          <w:rFonts w:ascii="Charter" w:hAnsi="Charter"/>
          <w:sz w:val="24"/>
          <w:szCs w:val="24"/>
          <w:vertAlign w:val="superscript"/>
        </w:rPr>
        <w:footnoteRef/>
      </w:r>
      <w:hyperlink r:id="rId1">
        <w:r w:rsidRPr="00AD25D6">
          <w:rPr>
            <w:rFonts w:ascii="Charter" w:hAnsi="Charter"/>
            <w:color w:val="1155CC"/>
            <w:sz w:val="24"/>
            <w:szCs w:val="24"/>
            <w:u w:val="single"/>
          </w:rPr>
          <w:t>https://www.fs.usda.gov/treesearch/pubs/4546</w:t>
        </w:r>
      </w:hyperlink>
    </w:p>
  </w:footnote>
  <w:footnote w:id="3">
    <w:p w14:paraId="6EC0BF67" w14:textId="68F80325" w:rsidR="00964065" w:rsidRPr="00AD25D6" w:rsidRDefault="00964065" w:rsidP="00964065">
      <w:pPr>
        <w:spacing w:line="240" w:lineRule="auto"/>
        <w:rPr>
          <w:rFonts w:ascii="Charter" w:hAnsi="Charter"/>
          <w:color w:val="1155CC"/>
          <w:sz w:val="24"/>
          <w:szCs w:val="24"/>
          <w:u w:val="single"/>
        </w:rPr>
      </w:pPr>
      <w:r w:rsidRPr="00AD25D6">
        <w:rPr>
          <w:rFonts w:ascii="Charter" w:hAnsi="Charter"/>
          <w:sz w:val="24"/>
          <w:szCs w:val="24"/>
          <w:vertAlign w:val="superscript"/>
        </w:rPr>
        <w:footnoteRef/>
      </w:r>
      <w:r w:rsidRPr="00AD25D6">
        <w:rPr>
          <w:rFonts w:ascii="Charter" w:hAnsi="Charter"/>
          <w:sz w:val="24"/>
          <w:szCs w:val="24"/>
        </w:rPr>
        <w:t xml:space="preserve"> </w:t>
      </w:r>
      <w:hyperlink r:id="rId2">
        <w:r w:rsidRPr="00AD25D6">
          <w:rPr>
            <w:rFonts w:ascii="Charter" w:hAnsi="Charter"/>
            <w:color w:val="1155CC"/>
            <w:sz w:val="24"/>
            <w:szCs w:val="24"/>
            <w:u w:val="single"/>
          </w:rPr>
          <w:t>https://www.fws.gov/mountain-prairie/pressrel/2000/00-08.htm</w:t>
        </w:r>
      </w:hyperlink>
    </w:p>
  </w:footnote>
  <w:footnote w:id="4">
    <w:p w14:paraId="6BC2A3C1" w14:textId="2B4628BC" w:rsidR="00964065" w:rsidRPr="00AD25D6" w:rsidRDefault="00964065" w:rsidP="00964065">
      <w:pPr>
        <w:spacing w:line="240" w:lineRule="auto"/>
        <w:rPr>
          <w:rFonts w:ascii="Charter" w:hAnsi="Charter"/>
          <w:color w:val="0563C1"/>
          <w:sz w:val="24"/>
          <w:szCs w:val="24"/>
          <w:u w:val="single"/>
        </w:rPr>
      </w:pPr>
      <w:r w:rsidRPr="00AD25D6">
        <w:rPr>
          <w:rFonts w:ascii="Charter" w:hAnsi="Charter"/>
          <w:sz w:val="24"/>
          <w:szCs w:val="24"/>
          <w:vertAlign w:val="superscript"/>
        </w:rPr>
        <w:footnoteRef/>
      </w:r>
      <w:r w:rsidRPr="00AD25D6">
        <w:rPr>
          <w:rFonts w:ascii="Charter" w:hAnsi="Charter"/>
          <w:sz w:val="24"/>
          <w:szCs w:val="24"/>
        </w:rPr>
        <w:t xml:space="preserve"> </w:t>
      </w:r>
      <w:hyperlink r:id="rId3">
        <w:r w:rsidRPr="00AD25D6">
          <w:rPr>
            <w:rFonts w:ascii="Charter" w:hAnsi="Charter"/>
            <w:color w:val="0563C1"/>
            <w:sz w:val="24"/>
            <w:szCs w:val="24"/>
            <w:u w:val="single"/>
          </w:rPr>
          <w:t>https://www.fs.usda.gov/Internet/FSE_DOCUMENTS/stelprdb5199575.pdf</w:t>
        </w:r>
      </w:hyperlink>
    </w:p>
  </w:footnote>
  <w:footnote w:id="5">
    <w:p w14:paraId="1B0C48A0" w14:textId="033C86C0" w:rsidR="00964065" w:rsidRPr="00AD25D6" w:rsidRDefault="00964065" w:rsidP="00964065">
      <w:pPr>
        <w:spacing w:line="240" w:lineRule="auto"/>
        <w:rPr>
          <w:rFonts w:ascii="Charter" w:hAnsi="Charter"/>
          <w:color w:val="0563C1"/>
          <w:sz w:val="24"/>
          <w:szCs w:val="24"/>
          <w:u w:val="single"/>
        </w:rPr>
      </w:pPr>
      <w:r w:rsidRPr="00AD25D6">
        <w:rPr>
          <w:rFonts w:ascii="Charter" w:hAnsi="Charter"/>
          <w:sz w:val="24"/>
          <w:szCs w:val="24"/>
          <w:vertAlign w:val="superscript"/>
        </w:rPr>
        <w:footnoteRef/>
      </w:r>
      <w:r w:rsidRPr="00AD25D6">
        <w:rPr>
          <w:rFonts w:ascii="Charter" w:hAnsi="Charter"/>
          <w:sz w:val="24"/>
          <w:szCs w:val="24"/>
        </w:rPr>
        <w:t xml:space="preserve"> </w:t>
      </w:r>
      <w:hyperlink r:id="rId4">
        <w:r w:rsidRPr="00AD25D6">
          <w:rPr>
            <w:rFonts w:ascii="Charter" w:hAnsi="Charter"/>
            <w:color w:val="0563C1"/>
            <w:sz w:val="24"/>
            <w:szCs w:val="24"/>
            <w:u w:val="single"/>
          </w:rPr>
          <w:t>https://www.fs.usda.gov/Internet/FSE_DOCUMENTS/stelprdb5357379.pdf</w:t>
        </w:r>
      </w:hyperlink>
    </w:p>
  </w:footnote>
  <w:footnote w:id="6">
    <w:p w14:paraId="738EB176" w14:textId="7B5EF467" w:rsidR="00964065" w:rsidRPr="00AD25D6" w:rsidRDefault="00964065" w:rsidP="00964065">
      <w:pPr>
        <w:spacing w:line="240" w:lineRule="auto"/>
        <w:rPr>
          <w:rFonts w:ascii="Charter" w:hAnsi="Charter"/>
          <w:color w:val="0563C1"/>
          <w:sz w:val="24"/>
          <w:szCs w:val="24"/>
          <w:u w:val="single"/>
        </w:rPr>
      </w:pPr>
      <w:r w:rsidRPr="00AD25D6">
        <w:rPr>
          <w:rFonts w:ascii="Charter" w:hAnsi="Charter"/>
          <w:sz w:val="24"/>
          <w:szCs w:val="24"/>
          <w:vertAlign w:val="superscript"/>
        </w:rPr>
        <w:footnoteRef/>
      </w:r>
      <w:r w:rsidRPr="00AD25D6">
        <w:rPr>
          <w:rFonts w:ascii="Charter" w:hAnsi="Charter"/>
          <w:sz w:val="24"/>
          <w:szCs w:val="24"/>
        </w:rPr>
        <w:t xml:space="preserve"> </w:t>
      </w:r>
      <w:hyperlink r:id="rId5">
        <w:r w:rsidRPr="00AD25D6">
          <w:rPr>
            <w:rFonts w:ascii="Charter" w:hAnsi="Charter"/>
            <w:color w:val="0563C1"/>
            <w:sz w:val="24"/>
            <w:szCs w:val="24"/>
            <w:u w:val="single"/>
          </w:rPr>
          <w:t>https://www.fs.fed.us/biology/resources/pubs/wildlife/LCAS_revisedAugust2013.pdf</w:t>
        </w:r>
      </w:hyperlink>
    </w:p>
  </w:footnote>
  <w:footnote w:id="7">
    <w:p w14:paraId="24F67AF2" w14:textId="68A09F91" w:rsidR="00964065" w:rsidRPr="00E85E69" w:rsidRDefault="00964065" w:rsidP="00964065">
      <w:pPr>
        <w:spacing w:line="240" w:lineRule="auto"/>
        <w:rPr>
          <w:color w:val="0563C1"/>
          <w:u w:val="single"/>
        </w:rPr>
      </w:pPr>
      <w:r w:rsidRPr="00AD25D6">
        <w:rPr>
          <w:rFonts w:ascii="Charter" w:hAnsi="Charter"/>
          <w:sz w:val="24"/>
          <w:szCs w:val="24"/>
          <w:vertAlign w:val="superscript"/>
        </w:rPr>
        <w:footnoteRef/>
      </w:r>
      <w:r w:rsidRPr="00AD25D6">
        <w:rPr>
          <w:rFonts w:ascii="Charter" w:hAnsi="Charter"/>
          <w:sz w:val="24"/>
          <w:szCs w:val="24"/>
        </w:rPr>
        <w:t xml:space="preserve"> </w:t>
      </w:r>
      <w:hyperlink r:id="rId6">
        <w:r w:rsidRPr="00AD25D6">
          <w:rPr>
            <w:rFonts w:ascii="Charter" w:hAnsi="Charter"/>
            <w:color w:val="0563C1"/>
            <w:sz w:val="24"/>
            <w:szCs w:val="24"/>
            <w:u w:val="single"/>
          </w:rPr>
          <w:t>https://www.fs.usda.gov/Internet/FSE_DOCUMENTS/fseprd939801.pdf</w:t>
        </w:r>
      </w:hyperlink>
    </w:p>
  </w:footnote>
  <w:footnote w:id="8">
    <w:p w14:paraId="495A371F" w14:textId="2A13FC47" w:rsidR="00964065" w:rsidRPr="00AD25D6" w:rsidRDefault="00964065" w:rsidP="00127B4B">
      <w:pPr>
        <w:spacing w:after="0" w:line="240" w:lineRule="auto"/>
        <w:rPr>
          <w:rFonts w:ascii="Charter" w:hAnsi="Charter"/>
          <w:color w:val="0563C1"/>
          <w:sz w:val="24"/>
          <w:szCs w:val="24"/>
          <w:u w:val="single"/>
        </w:rPr>
      </w:pPr>
      <w:r w:rsidRPr="00AD25D6">
        <w:rPr>
          <w:rFonts w:ascii="Charter" w:hAnsi="Charter"/>
          <w:sz w:val="24"/>
          <w:szCs w:val="24"/>
          <w:vertAlign w:val="superscript"/>
        </w:rPr>
        <w:footnoteRef/>
      </w:r>
      <w:r w:rsidRPr="00AD25D6">
        <w:rPr>
          <w:rFonts w:ascii="Charter" w:hAnsi="Charter"/>
          <w:sz w:val="24"/>
          <w:szCs w:val="24"/>
        </w:rPr>
        <w:t xml:space="preserve"> </w:t>
      </w:r>
      <w:hyperlink r:id="rId7">
        <w:r w:rsidRPr="00AD25D6">
          <w:rPr>
            <w:rFonts w:ascii="Charter" w:hAnsi="Charter"/>
            <w:color w:val="0563C1"/>
            <w:sz w:val="24"/>
            <w:szCs w:val="24"/>
            <w:u w:val="single"/>
          </w:rPr>
          <w:t>https://www.fs.usda.gov/Internet/FSE_DOCUMENTS/fseprd939809.pdf</w:t>
        </w:r>
      </w:hyperlink>
    </w:p>
  </w:footnote>
  <w:footnote w:id="9">
    <w:p w14:paraId="4DA4DF06" w14:textId="77777777" w:rsidR="00D77148" w:rsidRPr="00AD25D6" w:rsidRDefault="00D77148" w:rsidP="00127B4B">
      <w:pPr>
        <w:spacing w:after="0" w:line="240" w:lineRule="auto"/>
        <w:rPr>
          <w:rFonts w:ascii="Charter" w:hAnsi="Charter"/>
          <w:sz w:val="24"/>
          <w:szCs w:val="24"/>
        </w:rPr>
      </w:pPr>
      <w:r w:rsidRPr="00AD25D6">
        <w:rPr>
          <w:rFonts w:ascii="Charter" w:hAnsi="Charter"/>
          <w:sz w:val="24"/>
          <w:szCs w:val="24"/>
          <w:vertAlign w:val="superscript"/>
        </w:rPr>
        <w:footnoteRef/>
      </w:r>
      <w:r w:rsidRPr="00AD25D6">
        <w:rPr>
          <w:rFonts w:ascii="Charter" w:hAnsi="Charter"/>
          <w:sz w:val="24"/>
          <w:szCs w:val="24"/>
        </w:rPr>
        <w:t xml:space="preserve"> U.S. Fish and Wildlife Service, News Release - Canada Lynx Listed as Threatened, March 21, 2000.</w:t>
      </w:r>
    </w:p>
  </w:footnote>
  <w:footnote w:id="10">
    <w:p w14:paraId="490CD3E1" w14:textId="77777777" w:rsidR="00D77148" w:rsidRPr="00AD25D6" w:rsidRDefault="00D77148" w:rsidP="00127B4B">
      <w:pPr>
        <w:spacing w:after="0" w:line="240" w:lineRule="auto"/>
        <w:rPr>
          <w:rFonts w:ascii="Charter" w:hAnsi="Charter"/>
          <w:sz w:val="24"/>
          <w:szCs w:val="24"/>
        </w:rPr>
      </w:pPr>
      <w:r w:rsidRPr="00AD25D6">
        <w:rPr>
          <w:rFonts w:ascii="Charter" w:hAnsi="Charter"/>
          <w:sz w:val="24"/>
          <w:szCs w:val="24"/>
          <w:vertAlign w:val="superscript"/>
        </w:rPr>
        <w:footnoteRef/>
      </w:r>
      <w:r w:rsidRPr="00AD25D6">
        <w:rPr>
          <w:rFonts w:ascii="Charter" w:hAnsi="Charter"/>
          <w:sz w:val="24"/>
          <w:szCs w:val="24"/>
        </w:rPr>
        <w:t xml:space="preserve"> </w:t>
      </w:r>
      <w:r w:rsidRPr="00AD25D6">
        <w:rPr>
          <w:rFonts w:ascii="Charter" w:hAnsi="Charter"/>
          <w:i/>
          <w:sz w:val="24"/>
          <w:szCs w:val="24"/>
        </w:rPr>
        <w:t>Id</w:t>
      </w:r>
      <w:r w:rsidRPr="00AD25D6">
        <w:rPr>
          <w:rFonts w:ascii="Charter" w:hAnsi="Charter"/>
          <w:sz w:val="24"/>
          <w:szCs w:val="24"/>
        </w:rPr>
        <w:t>.</w:t>
      </w:r>
    </w:p>
  </w:footnote>
  <w:footnote w:id="11">
    <w:p w14:paraId="0C292B65" w14:textId="77777777" w:rsidR="00D77148" w:rsidRPr="00AD25D6" w:rsidRDefault="00D77148" w:rsidP="00127B4B">
      <w:pPr>
        <w:spacing w:after="0" w:line="240" w:lineRule="auto"/>
        <w:rPr>
          <w:rFonts w:ascii="Charter" w:hAnsi="Charter"/>
          <w:sz w:val="24"/>
          <w:szCs w:val="24"/>
        </w:rPr>
      </w:pPr>
      <w:r w:rsidRPr="00AD25D6">
        <w:rPr>
          <w:rFonts w:ascii="Charter" w:hAnsi="Charter"/>
          <w:sz w:val="24"/>
          <w:szCs w:val="24"/>
          <w:vertAlign w:val="superscript"/>
        </w:rPr>
        <w:footnoteRef/>
      </w:r>
      <w:r w:rsidRPr="00AD25D6">
        <w:rPr>
          <w:rFonts w:ascii="Charter" w:hAnsi="Charter"/>
          <w:sz w:val="24"/>
          <w:szCs w:val="24"/>
        </w:rPr>
        <w:t xml:space="preserve"> </w:t>
      </w:r>
      <w:r w:rsidRPr="00AD25D6">
        <w:rPr>
          <w:rFonts w:ascii="Charter" w:hAnsi="Charter"/>
          <w:i/>
          <w:sz w:val="24"/>
          <w:szCs w:val="24"/>
        </w:rPr>
        <w:t>Id</w:t>
      </w:r>
      <w:r w:rsidRPr="00AD25D6">
        <w:rPr>
          <w:rFonts w:ascii="Charter" w:hAnsi="Charter"/>
          <w:sz w:val="24"/>
          <w:szCs w:val="24"/>
        </w:rPr>
        <w:t>.</w:t>
      </w:r>
    </w:p>
  </w:footnote>
  <w:footnote w:id="12">
    <w:p w14:paraId="22726E33" w14:textId="77777777" w:rsidR="00D77148" w:rsidRPr="00AD25D6" w:rsidRDefault="00D77148" w:rsidP="00127B4B">
      <w:pPr>
        <w:spacing w:after="0" w:line="240" w:lineRule="auto"/>
        <w:rPr>
          <w:rFonts w:ascii="Charter" w:hAnsi="Charter"/>
          <w:sz w:val="24"/>
          <w:szCs w:val="24"/>
        </w:rPr>
      </w:pPr>
      <w:r w:rsidRPr="00AD25D6">
        <w:rPr>
          <w:rFonts w:ascii="Charter" w:hAnsi="Charter"/>
          <w:sz w:val="24"/>
          <w:szCs w:val="24"/>
          <w:vertAlign w:val="superscript"/>
        </w:rPr>
        <w:footnoteRef/>
      </w:r>
      <w:r w:rsidRPr="00AD25D6">
        <w:rPr>
          <w:rFonts w:ascii="Charter" w:hAnsi="Charter"/>
          <w:sz w:val="24"/>
          <w:szCs w:val="24"/>
        </w:rPr>
        <w:t xml:space="preserve"> Ruggiero, Leonard F.; Aubry, Keith B.; Buskirk, Steven W.; Koehler, Gary M.; Krebs, Charles J.; McKelvey, Kevin S.; Squires, John R. 1999. Ecology and conservation of lynx in the United States. Gen. Tech. Rep. RMRS-GTR-30. Fort Collins, CO: U.S. Department of Agriculture, Forest Service, Rocky Mountain Research Station.</w:t>
      </w:r>
    </w:p>
  </w:footnote>
  <w:footnote w:id="13">
    <w:p w14:paraId="1AFA7053" w14:textId="77777777" w:rsidR="00D77148" w:rsidRPr="00AD25D6" w:rsidRDefault="00D77148" w:rsidP="00127B4B">
      <w:pPr>
        <w:spacing w:after="0" w:line="240" w:lineRule="auto"/>
        <w:rPr>
          <w:rFonts w:ascii="Charter" w:hAnsi="Charter"/>
          <w:sz w:val="24"/>
          <w:szCs w:val="24"/>
        </w:rPr>
      </w:pPr>
      <w:r w:rsidRPr="00AD25D6">
        <w:rPr>
          <w:rFonts w:ascii="Charter" w:hAnsi="Charter"/>
          <w:sz w:val="24"/>
          <w:szCs w:val="24"/>
          <w:vertAlign w:val="superscript"/>
        </w:rPr>
        <w:footnoteRef/>
      </w:r>
      <w:r w:rsidRPr="00AD25D6">
        <w:rPr>
          <w:rFonts w:ascii="Charter" w:hAnsi="Charter"/>
          <w:sz w:val="24"/>
          <w:szCs w:val="24"/>
        </w:rPr>
        <w:t xml:space="preserve"> </w:t>
      </w:r>
      <w:r w:rsidRPr="00AD25D6">
        <w:rPr>
          <w:rFonts w:ascii="Charter" w:hAnsi="Charter"/>
          <w:i/>
          <w:sz w:val="24"/>
          <w:szCs w:val="24"/>
        </w:rPr>
        <w:t>Id</w:t>
      </w:r>
      <w:r w:rsidRPr="00AD25D6">
        <w:rPr>
          <w:rFonts w:ascii="Charter" w:hAnsi="Charter"/>
          <w:sz w:val="24"/>
          <w:szCs w:val="24"/>
        </w:rPr>
        <w:t>. at 85.</w:t>
      </w:r>
    </w:p>
  </w:footnote>
  <w:footnote w:id="14">
    <w:p w14:paraId="14B3D2CF" w14:textId="77777777" w:rsidR="00D77148" w:rsidRPr="00A6740E" w:rsidRDefault="00D77148" w:rsidP="00A6740E">
      <w:pPr>
        <w:spacing w:after="0" w:line="240" w:lineRule="auto"/>
        <w:rPr>
          <w:rFonts w:ascii="Times New Roman" w:hAnsi="Times New Roman" w:cs="Times New Roman"/>
          <w:sz w:val="20"/>
          <w:szCs w:val="20"/>
        </w:rPr>
      </w:pPr>
      <w:r w:rsidRPr="00AD25D6">
        <w:rPr>
          <w:rFonts w:ascii="Charter" w:hAnsi="Charter" w:cs="Times New Roman"/>
          <w:sz w:val="24"/>
          <w:szCs w:val="24"/>
          <w:vertAlign w:val="superscript"/>
        </w:rPr>
        <w:footnoteRef/>
      </w:r>
      <w:r w:rsidRPr="00AD25D6">
        <w:rPr>
          <w:rFonts w:ascii="Charter" w:hAnsi="Charter" w:cs="Times New Roman"/>
          <w:sz w:val="24"/>
          <w:szCs w:val="24"/>
        </w:rPr>
        <w:t xml:space="preserve"> </w:t>
      </w:r>
      <w:r w:rsidRPr="00AD25D6">
        <w:rPr>
          <w:rFonts w:ascii="Charter" w:hAnsi="Charter" w:cs="Times New Roman"/>
          <w:i/>
          <w:sz w:val="24"/>
          <w:szCs w:val="24"/>
        </w:rPr>
        <w:t>Id</w:t>
      </w:r>
      <w:r w:rsidRPr="00AD25D6">
        <w:rPr>
          <w:rFonts w:ascii="Charter" w:hAnsi="Charter" w:cs="Times New Roman"/>
          <w:sz w:val="24"/>
          <w:szCs w:val="24"/>
        </w:rPr>
        <w:t>. at 85-86.</w:t>
      </w:r>
    </w:p>
  </w:footnote>
  <w:footnote w:id="15">
    <w:p w14:paraId="2923E8B6" w14:textId="4B66BEED" w:rsidR="00964065" w:rsidRPr="00AD25D6" w:rsidRDefault="00964065" w:rsidP="00A6740E">
      <w:pPr>
        <w:spacing w:after="0" w:line="240" w:lineRule="auto"/>
        <w:rPr>
          <w:rFonts w:ascii="Charter" w:hAnsi="Charter" w:cs="Times New Roman"/>
          <w:sz w:val="24"/>
          <w:szCs w:val="24"/>
        </w:rPr>
      </w:pPr>
      <w:r w:rsidRPr="00AD25D6">
        <w:rPr>
          <w:rFonts w:ascii="Charter" w:hAnsi="Charter" w:cs="Times New Roman"/>
          <w:sz w:val="24"/>
          <w:szCs w:val="24"/>
          <w:vertAlign w:val="superscript"/>
        </w:rPr>
        <w:footnoteRef/>
      </w:r>
      <w:r w:rsidRPr="00AD25D6">
        <w:rPr>
          <w:rFonts w:ascii="Charter" w:hAnsi="Charter" w:cs="Times New Roman"/>
          <w:sz w:val="24"/>
          <w:szCs w:val="24"/>
        </w:rPr>
        <w:t xml:space="preserve"> Interagency Lynx Biology Team. 2013. Canada Lynx Conservation Assessment and Strategy. 3rd edition. USDA Forest Service, USDI Fish and Wildlife Service, USDI Bureau of Land Management, and USDI National Park Service. Forest Service Publication R1-13-19, Missoula, MT. 128 pp. 9.</w:t>
      </w:r>
      <w:r w:rsidR="00C62CCA" w:rsidRPr="00AD25D6">
        <w:rPr>
          <w:rFonts w:ascii="Charter" w:hAnsi="Charter" w:cs="Times New Roman"/>
          <w:sz w:val="24"/>
          <w:szCs w:val="24"/>
        </w:rPr>
        <w:t xml:space="preserve"> (“LCAS”)</w:t>
      </w:r>
    </w:p>
  </w:footnote>
  <w:footnote w:id="16">
    <w:p w14:paraId="61A35A9E" w14:textId="6E63182F" w:rsidR="00964065" w:rsidRPr="00AD25D6" w:rsidRDefault="00964065" w:rsidP="00A6740E">
      <w:pPr>
        <w:spacing w:after="0" w:line="240" w:lineRule="auto"/>
        <w:rPr>
          <w:rFonts w:ascii="Charter" w:hAnsi="Charter" w:cs="Times New Roman"/>
          <w:sz w:val="24"/>
          <w:szCs w:val="24"/>
        </w:rPr>
      </w:pPr>
      <w:r w:rsidRPr="00AD25D6">
        <w:rPr>
          <w:rFonts w:ascii="Charter" w:hAnsi="Charter" w:cs="Times New Roman"/>
          <w:sz w:val="24"/>
          <w:szCs w:val="24"/>
          <w:vertAlign w:val="superscript"/>
        </w:rPr>
        <w:footnoteRef/>
      </w:r>
      <w:r w:rsidRPr="00AD25D6">
        <w:rPr>
          <w:rFonts w:ascii="Charter" w:hAnsi="Charter" w:cs="Times New Roman"/>
          <w:sz w:val="24"/>
          <w:szCs w:val="24"/>
        </w:rPr>
        <w:t xml:space="preserve"> Southern Rockies Lynx Management Direction, Record of Decision. 2008. USDA Forest Service, Rocky Mountain Region, Colorado Dept. of Natural Resources. pp. 6.</w:t>
      </w:r>
      <w:r w:rsidR="008A5C83" w:rsidRPr="00AD25D6">
        <w:rPr>
          <w:rFonts w:ascii="Charter" w:hAnsi="Charter" w:cs="Times New Roman"/>
          <w:sz w:val="24"/>
          <w:szCs w:val="24"/>
        </w:rPr>
        <w:t xml:space="preserve"> (“SRLA ROD”)</w:t>
      </w:r>
      <w:r w:rsidR="009426C1" w:rsidRPr="00AD25D6">
        <w:rPr>
          <w:rFonts w:ascii="Charter" w:hAnsi="Charter" w:cs="Times New Roman"/>
          <w:sz w:val="24"/>
          <w:szCs w:val="24"/>
        </w:rPr>
        <w:t>; https://www.fs.usda.gov/Internet/FSE_DOCUMENTS/stelprdb5357379.pdf</w:t>
      </w:r>
    </w:p>
  </w:footnote>
  <w:footnote w:id="17">
    <w:p w14:paraId="52D84AB2" w14:textId="77777777" w:rsidR="00964065" w:rsidRPr="00AD25D6" w:rsidRDefault="00964065" w:rsidP="00A6740E">
      <w:pPr>
        <w:spacing w:after="0" w:line="240" w:lineRule="auto"/>
        <w:rPr>
          <w:rFonts w:ascii="Charter" w:hAnsi="Charter" w:cs="Times New Roman"/>
          <w:sz w:val="24"/>
          <w:szCs w:val="24"/>
        </w:rPr>
      </w:pPr>
      <w:r w:rsidRPr="00AD25D6">
        <w:rPr>
          <w:rFonts w:ascii="Charter" w:hAnsi="Charter" w:cs="Times New Roman"/>
          <w:sz w:val="24"/>
          <w:szCs w:val="24"/>
          <w:vertAlign w:val="superscript"/>
        </w:rPr>
        <w:footnoteRef/>
      </w:r>
      <w:r w:rsidRPr="00AD25D6">
        <w:rPr>
          <w:rFonts w:ascii="Charter" w:hAnsi="Charter" w:cs="Times New Roman"/>
          <w:sz w:val="24"/>
          <w:szCs w:val="24"/>
        </w:rPr>
        <w:t xml:space="preserve"> </w:t>
      </w:r>
      <w:r w:rsidRPr="00AD25D6">
        <w:rPr>
          <w:rFonts w:ascii="Charter" w:hAnsi="Charter" w:cs="Times New Roman"/>
          <w:i/>
          <w:sz w:val="24"/>
          <w:szCs w:val="24"/>
        </w:rPr>
        <w:t>Id</w:t>
      </w:r>
      <w:r w:rsidRPr="00AD25D6">
        <w:rPr>
          <w:rFonts w:ascii="Charter" w:hAnsi="Charter" w:cs="Times New Roman"/>
          <w:sz w:val="24"/>
          <w:szCs w:val="24"/>
        </w:rPr>
        <w:t xml:space="preserve">. </w:t>
      </w:r>
    </w:p>
  </w:footnote>
  <w:footnote w:id="18">
    <w:p w14:paraId="4EB66CB3" w14:textId="0F521410" w:rsidR="00964065" w:rsidRPr="00AD25D6" w:rsidRDefault="00964065" w:rsidP="00A6740E">
      <w:pPr>
        <w:spacing w:after="0" w:line="240" w:lineRule="auto"/>
        <w:rPr>
          <w:rFonts w:ascii="Charter" w:hAnsi="Charter" w:cs="Times New Roman"/>
          <w:sz w:val="24"/>
          <w:szCs w:val="24"/>
        </w:rPr>
      </w:pPr>
      <w:r w:rsidRPr="00AD25D6">
        <w:rPr>
          <w:rFonts w:ascii="Charter" w:hAnsi="Charter" w:cs="Times New Roman"/>
          <w:sz w:val="24"/>
          <w:szCs w:val="24"/>
          <w:vertAlign w:val="superscript"/>
        </w:rPr>
        <w:footnoteRef/>
      </w:r>
      <w:r w:rsidRPr="00AD25D6">
        <w:rPr>
          <w:rFonts w:ascii="Charter" w:hAnsi="Charter" w:cs="Times New Roman"/>
          <w:sz w:val="24"/>
          <w:szCs w:val="24"/>
        </w:rPr>
        <w:t xml:space="preserve"> Interagency Lynx Biology Team. 2013. Canada Lynx Conservation Assessment and Strategy. 3rd edition.</w:t>
      </w:r>
      <w:r w:rsidR="00A6740E" w:rsidRPr="00AD25D6">
        <w:rPr>
          <w:rFonts w:ascii="Charter" w:hAnsi="Charter" w:cs="Times New Roman"/>
          <w:sz w:val="24"/>
          <w:szCs w:val="24"/>
        </w:rPr>
        <w:t xml:space="preserve"> </w:t>
      </w:r>
      <w:r w:rsidRPr="00AD25D6">
        <w:rPr>
          <w:rFonts w:ascii="Charter" w:hAnsi="Charter" w:cs="Times New Roman"/>
          <w:sz w:val="24"/>
          <w:szCs w:val="24"/>
        </w:rPr>
        <w:t>pp. 28.</w:t>
      </w:r>
    </w:p>
  </w:footnote>
  <w:footnote w:id="19">
    <w:p w14:paraId="4774E74B" w14:textId="77777777" w:rsidR="00964065" w:rsidRPr="00AD25D6" w:rsidRDefault="00964065" w:rsidP="00A6740E">
      <w:pPr>
        <w:spacing w:after="0" w:line="240" w:lineRule="auto"/>
        <w:rPr>
          <w:rFonts w:ascii="Charter" w:hAnsi="Charter" w:cs="Times New Roman"/>
          <w:sz w:val="24"/>
          <w:szCs w:val="24"/>
        </w:rPr>
      </w:pPr>
      <w:r w:rsidRPr="00AD25D6">
        <w:rPr>
          <w:rFonts w:ascii="Charter" w:hAnsi="Charter" w:cs="Times New Roman"/>
          <w:sz w:val="24"/>
          <w:szCs w:val="24"/>
          <w:vertAlign w:val="superscript"/>
        </w:rPr>
        <w:footnoteRef/>
      </w:r>
      <w:r w:rsidRPr="00AD25D6">
        <w:rPr>
          <w:rFonts w:ascii="Charter" w:hAnsi="Charter" w:cs="Times New Roman"/>
          <w:sz w:val="24"/>
          <w:szCs w:val="24"/>
        </w:rPr>
        <w:t xml:space="preserve"> </w:t>
      </w:r>
      <w:r w:rsidRPr="00AD25D6">
        <w:rPr>
          <w:rFonts w:ascii="Charter" w:hAnsi="Charter" w:cs="Times New Roman"/>
          <w:i/>
          <w:sz w:val="24"/>
          <w:szCs w:val="24"/>
        </w:rPr>
        <w:t>Id</w:t>
      </w:r>
      <w:r w:rsidRPr="00AD25D6">
        <w:rPr>
          <w:rFonts w:ascii="Charter" w:hAnsi="Charter" w:cs="Times New Roman"/>
          <w:sz w:val="24"/>
          <w:szCs w:val="24"/>
        </w:rPr>
        <w:t>. at 10.</w:t>
      </w:r>
    </w:p>
  </w:footnote>
  <w:footnote w:id="20">
    <w:p w14:paraId="6ADA0109" w14:textId="77777777" w:rsidR="00964065" w:rsidRPr="00A6740E" w:rsidRDefault="00964065" w:rsidP="00964065">
      <w:pPr>
        <w:spacing w:line="240" w:lineRule="auto"/>
        <w:rPr>
          <w:rFonts w:ascii="Times New Roman" w:hAnsi="Times New Roman" w:cs="Times New Roman"/>
          <w:sz w:val="20"/>
          <w:szCs w:val="20"/>
        </w:rPr>
      </w:pPr>
      <w:r w:rsidRPr="00AD25D6">
        <w:rPr>
          <w:rFonts w:ascii="Charter" w:hAnsi="Charter" w:cs="Times New Roman"/>
          <w:sz w:val="24"/>
          <w:szCs w:val="24"/>
          <w:vertAlign w:val="superscript"/>
        </w:rPr>
        <w:footnoteRef/>
      </w:r>
      <w:r w:rsidRPr="00AD25D6">
        <w:rPr>
          <w:rFonts w:ascii="Charter" w:hAnsi="Charter" w:cs="Times New Roman"/>
          <w:sz w:val="24"/>
          <w:szCs w:val="24"/>
        </w:rPr>
        <w:t xml:space="preserve"> </w:t>
      </w:r>
      <w:r w:rsidRPr="00AD25D6">
        <w:rPr>
          <w:rFonts w:ascii="Charter" w:hAnsi="Charter" w:cs="Times New Roman"/>
          <w:i/>
          <w:sz w:val="24"/>
          <w:szCs w:val="24"/>
        </w:rPr>
        <w:t>Id</w:t>
      </w:r>
      <w:r w:rsidRPr="00AD25D6">
        <w:rPr>
          <w:rFonts w:ascii="Charter" w:hAnsi="Charter" w:cs="Times New Roman"/>
          <w:sz w:val="24"/>
          <w:szCs w:val="24"/>
        </w:rPr>
        <w:t>. at 18.</w:t>
      </w:r>
    </w:p>
  </w:footnote>
  <w:footnote w:id="21">
    <w:p w14:paraId="03C63AB5" w14:textId="7BC4BB4D" w:rsidR="00F66096" w:rsidRPr="00AD25D6" w:rsidRDefault="00F66096">
      <w:pPr>
        <w:pStyle w:val="FootnoteText"/>
        <w:rPr>
          <w:rFonts w:ascii="Charter" w:hAnsi="Charter"/>
          <w:sz w:val="24"/>
          <w:szCs w:val="24"/>
        </w:rPr>
      </w:pPr>
      <w:r w:rsidRPr="00AD25D6">
        <w:rPr>
          <w:rStyle w:val="FootnoteReference"/>
          <w:rFonts w:ascii="Charter" w:hAnsi="Charter"/>
          <w:sz w:val="24"/>
          <w:szCs w:val="24"/>
        </w:rPr>
        <w:footnoteRef/>
      </w:r>
      <w:r w:rsidRPr="00AD25D6">
        <w:rPr>
          <w:rFonts w:ascii="Charter" w:hAnsi="Charter"/>
          <w:sz w:val="24"/>
          <w:szCs w:val="24"/>
        </w:rPr>
        <w:t xml:space="preserve"> 36 CFR 219 </w:t>
      </w:r>
      <w:r w:rsidRPr="00AD25D6">
        <w:rPr>
          <w:rFonts w:ascii="Charter" w:hAnsi="Charter"/>
          <w:i/>
          <w:sz w:val="24"/>
          <w:szCs w:val="24"/>
        </w:rPr>
        <w:t>et</w:t>
      </w:r>
      <w:r w:rsidRPr="00AD25D6">
        <w:rPr>
          <w:rFonts w:ascii="Charter" w:hAnsi="Charter"/>
          <w:sz w:val="24"/>
          <w:szCs w:val="24"/>
        </w:rPr>
        <w:t xml:space="preserve">. </w:t>
      </w:r>
      <w:r w:rsidRPr="00AD25D6">
        <w:rPr>
          <w:rFonts w:ascii="Charter" w:hAnsi="Charter"/>
          <w:i/>
          <w:sz w:val="24"/>
          <w:szCs w:val="24"/>
        </w:rPr>
        <w:t>seq</w:t>
      </w:r>
      <w:r w:rsidRPr="00AD25D6">
        <w:rPr>
          <w:rFonts w:ascii="Charter" w:hAnsi="Charter"/>
          <w:sz w:val="24"/>
          <w:szCs w:val="24"/>
        </w:rPr>
        <w:t>.</w:t>
      </w:r>
    </w:p>
  </w:footnote>
  <w:footnote w:id="22">
    <w:p w14:paraId="38A8E84F" w14:textId="42F101BF" w:rsidR="00F66096" w:rsidRPr="00AD25D6" w:rsidRDefault="00F66096">
      <w:pPr>
        <w:pStyle w:val="FootnoteText"/>
        <w:rPr>
          <w:rFonts w:ascii="Charter" w:hAnsi="Charter"/>
          <w:sz w:val="24"/>
          <w:szCs w:val="24"/>
        </w:rPr>
      </w:pPr>
      <w:r w:rsidRPr="00AD25D6">
        <w:rPr>
          <w:rStyle w:val="FootnoteReference"/>
          <w:rFonts w:ascii="Charter" w:hAnsi="Charter"/>
          <w:sz w:val="24"/>
          <w:szCs w:val="24"/>
        </w:rPr>
        <w:footnoteRef/>
      </w:r>
      <w:r w:rsidRPr="00AD25D6">
        <w:rPr>
          <w:rFonts w:ascii="Charter" w:hAnsi="Charter"/>
          <w:sz w:val="24"/>
          <w:szCs w:val="24"/>
        </w:rPr>
        <w:t xml:space="preserve"> </w:t>
      </w:r>
      <w:r w:rsidRPr="00AD25D6">
        <w:rPr>
          <w:rFonts w:ascii="Charter" w:hAnsi="Charter"/>
          <w:sz w:val="24"/>
          <w:szCs w:val="24"/>
          <w:vertAlign w:val="superscript"/>
        </w:rPr>
        <w:footnoteRef/>
      </w:r>
      <w:r w:rsidRPr="00AD25D6">
        <w:rPr>
          <w:rFonts w:ascii="Charter" w:hAnsi="Charter"/>
          <w:sz w:val="24"/>
          <w:szCs w:val="24"/>
        </w:rPr>
        <w:t xml:space="preserve"> Executive Order 12866. Regulatory Planning and Review. 58 FR 51735. Sept. 30, 1993.</w:t>
      </w:r>
    </w:p>
  </w:footnote>
  <w:footnote w:id="23">
    <w:p w14:paraId="7077BB15" w14:textId="3CC00BCE" w:rsidR="00F66096" w:rsidRPr="00AD25D6" w:rsidRDefault="00F66096">
      <w:pPr>
        <w:pStyle w:val="FootnoteText"/>
        <w:rPr>
          <w:rFonts w:ascii="Charter" w:hAnsi="Charter"/>
          <w:sz w:val="24"/>
          <w:szCs w:val="24"/>
        </w:rPr>
      </w:pPr>
      <w:r w:rsidRPr="00AD25D6">
        <w:rPr>
          <w:rStyle w:val="FootnoteReference"/>
          <w:rFonts w:ascii="Charter" w:hAnsi="Charter"/>
          <w:sz w:val="24"/>
          <w:szCs w:val="24"/>
        </w:rPr>
        <w:footnoteRef/>
      </w:r>
      <w:r w:rsidRPr="00AD25D6">
        <w:rPr>
          <w:rFonts w:ascii="Charter" w:hAnsi="Charter"/>
          <w:sz w:val="24"/>
          <w:szCs w:val="24"/>
        </w:rPr>
        <w:t xml:space="preserve"> 42 USCS 4321 </w:t>
      </w:r>
      <w:r w:rsidRPr="00AD25D6">
        <w:rPr>
          <w:rFonts w:ascii="Charter" w:hAnsi="Charter"/>
          <w:i/>
          <w:sz w:val="24"/>
          <w:szCs w:val="24"/>
        </w:rPr>
        <w:t>et</w:t>
      </w:r>
      <w:r w:rsidRPr="00AD25D6">
        <w:rPr>
          <w:rFonts w:ascii="Charter" w:hAnsi="Charter"/>
          <w:sz w:val="24"/>
          <w:szCs w:val="24"/>
        </w:rPr>
        <w:t xml:space="preserve">. </w:t>
      </w:r>
      <w:r w:rsidRPr="00AD25D6">
        <w:rPr>
          <w:rFonts w:ascii="Charter" w:hAnsi="Charter"/>
          <w:i/>
          <w:sz w:val="24"/>
          <w:szCs w:val="24"/>
        </w:rPr>
        <w:t>seq</w:t>
      </w:r>
      <w:r w:rsidRPr="00AD25D6">
        <w:rPr>
          <w:rFonts w:ascii="Charter" w:hAnsi="Charter"/>
          <w:sz w:val="24"/>
          <w:szCs w:val="24"/>
        </w:rPr>
        <w:t>.</w:t>
      </w:r>
    </w:p>
  </w:footnote>
  <w:footnote w:id="24">
    <w:p w14:paraId="141B157F" w14:textId="77777777" w:rsidR="00964065" w:rsidRPr="00AD25D6" w:rsidRDefault="00964065" w:rsidP="00AC7040">
      <w:pPr>
        <w:spacing w:after="0" w:line="240" w:lineRule="auto"/>
        <w:rPr>
          <w:rFonts w:ascii="Charter" w:hAnsi="Charter"/>
          <w:sz w:val="24"/>
          <w:szCs w:val="24"/>
        </w:rPr>
      </w:pPr>
      <w:r w:rsidRPr="00AD25D6">
        <w:rPr>
          <w:rFonts w:ascii="Charter" w:hAnsi="Charter"/>
          <w:sz w:val="24"/>
          <w:szCs w:val="24"/>
          <w:vertAlign w:val="superscript"/>
        </w:rPr>
        <w:footnoteRef/>
      </w:r>
      <w:r w:rsidRPr="00AD25D6">
        <w:rPr>
          <w:rFonts w:ascii="Charter" w:hAnsi="Charter"/>
          <w:sz w:val="24"/>
          <w:szCs w:val="24"/>
        </w:rPr>
        <w:t xml:space="preserve"> 36 CFR 219.3.</w:t>
      </w:r>
    </w:p>
  </w:footnote>
  <w:footnote w:id="25">
    <w:p w14:paraId="6E1462AE" w14:textId="77777777" w:rsidR="00964065" w:rsidRPr="00AD25D6" w:rsidRDefault="00964065" w:rsidP="00B42A3F">
      <w:pPr>
        <w:spacing w:after="0" w:line="240" w:lineRule="auto"/>
        <w:rPr>
          <w:rFonts w:ascii="Charter" w:hAnsi="Charter"/>
          <w:sz w:val="24"/>
          <w:szCs w:val="24"/>
        </w:rPr>
      </w:pPr>
      <w:r w:rsidRPr="00AD25D6">
        <w:rPr>
          <w:rFonts w:ascii="Charter" w:hAnsi="Charter"/>
          <w:sz w:val="24"/>
          <w:szCs w:val="24"/>
          <w:vertAlign w:val="superscript"/>
        </w:rPr>
        <w:footnoteRef/>
      </w:r>
      <w:r w:rsidRPr="00AD25D6">
        <w:rPr>
          <w:rFonts w:ascii="Charter" w:hAnsi="Charter"/>
          <w:sz w:val="24"/>
          <w:szCs w:val="24"/>
        </w:rPr>
        <w:t xml:space="preserve"> Interagency Lynx Biology Team. 2013. Canada Lynx Conservation Assessment and Strategy. 3rd edition. pp. 3.</w:t>
      </w:r>
    </w:p>
  </w:footnote>
  <w:footnote w:id="26">
    <w:p w14:paraId="1F1A9A3C" w14:textId="77777777" w:rsidR="00964065" w:rsidRDefault="00964065" w:rsidP="00AC7040">
      <w:pPr>
        <w:spacing w:after="0" w:line="240" w:lineRule="auto"/>
        <w:rPr>
          <w:sz w:val="20"/>
          <w:szCs w:val="20"/>
        </w:rPr>
      </w:pPr>
      <w:r w:rsidRPr="00AD25D6">
        <w:rPr>
          <w:rFonts w:ascii="Charter" w:hAnsi="Charter"/>
          <w:sz w:val="24"/>
          <w:szCs w:val="24"/>
          <w:vertAlign w:val="superscript"/>
        </w:rPr>
        <w:footnoteRef/>
      </w:r>
      <w:r w:rsidRPr="00AD25D6">
        <w:rPr>
          <w:rFonts w:ascii="Charter" w:hAnsi="Charter"/>
          <w:sz w:val="24"/>
          <w:szCs w:val="24"/>
        </w:rPr>
        <w:t xml:space="preserve"> </w:t>
      </w:r>
      <w:r w:rsidRPr="00AD25D6">
        <w:rPr>
          <w:rFonts w:ascii="Charter" w:hAnsi="Charter"/>
          <w:i/>
          <w:sz w:val="24"/>
          <w:szCs w:val="24"/>
        </w:rPr>
        <w:t>Id</w:t>
      </w:r>
      <w:r w:rsidRPr="00AD25D6">
        <w:rPr>
          <w:rFonts w:ascii="Charter" w:hAnsi="Charter"/>
          <w:sz w:val="24"/>
          <w:szCs w:val="24"/>
        </w:rPr>
        <w:t>. at 3-4.</w:t>
      </w:r>
    </w:p>
  </w:footnote>
  <w:footnote w:id="27">
    <w:p w14:paraId="1151FFDB" w14:textId="4F4EBA1C" w:rsidR="00E91EBE" w:rsidRPr="00AD25D6" w:rsidRDefault="00E91EBE">
      <w:pPr>
        <w:pStyle w:val="FootnoteText"/>
        <w:rPr>
          <w:rFonts w:ascii="Charter" w:hAnsi="Charter"/>
          <w:sz w:val="24"/>
          <w:szCs w:val="24"/>
        </w:rPr>
      </w:pPr>
      <w:r w:rsidRPr="00AD25D6">
        <w:rPr>
          <w:rStyle w:val="FootnoteReference"/>
          <w:rFonts w:ascii="Charter" w:hAnsi="Charter"/>
          <w:sz w:val="24"/>
          <w:szCs w:val="24"/>
        </w:rPr>
        <w:footnoteRef/>
      </w:r>
      <w:r w:rsidRPr="00AD25D6">
        <w:rPr>
          <w:rFonts w:ascii="Charter" w:hAnsi="Charter"/>
          <w:sz w:val="24"/>
          <w:szCs w:val="24"/>
        </w:rPr>
        <w:t xml:space="preserve"> </w:t>
      </w:r>
      <w:r w:rsidR="00B42A3F" w:rsidRPr="00AD25D6">
        <w:rPr>
          <w:rFonts w:ascii="Charter" w:hAnsi="Charter"/>
          <w:sz w:val="24"/>
          <w:szCs w:val="24"/>
        </w:rPr>
        <w:t>Draft Environmental Impact Statement for the Land Management Plan Revision. Grand Mesa, Uncompahgre, and Gunnison National Forests. Volume 1. August 2021. pp. 162. (“GMUG DEIS” or “DEIS”)</w:t>
      </w:r>
    </w:p>
  </w:footnote>
  <w:footnote w:id="28">
    <w:p w14:paraId="5A9BAE5C" w14:textId="7E0CC8AF" w:rsidR="00964065" w:rsidRPr="00AD25D6" w:rsidRDefault="00964065" w:rsidP="00AC7040">
      <w:pPr>
        <w:spacing w:after="0" w:line="240" w:lineRule="auto"/>
        <w:rPr>
          <w:rFonts w:ascii="Charter" w:hAnsi="Charter"/>
          <w:sz w:val="24"/>
          <w:szCs w:val="24"/>
        </w:rPr>
      </w:pPr>
      <w:r w:rsidRPr="00AD25D6">
        <w:rPr>
          <w:rFonts w:ascii="Charter" w:hAnsi="Charter"/>
          <w:sz w:val="24"/>
          <w:szCs w:val="24"/>
          <w:vertAlign w:val="superscript"/>
        </w:rPr>
        <w:footnoteRef/>
      </w:r>
      <w:r w:rsidRPr="00AD25D6">
        <w:rPr>
          <w:rFonts w:ascii="Charter" w:hAnsi="Charter"/>
          <w:sz w:val="24"/>
          <w:szCs w:val="24"/>
        </w:rPr>
        <w:t xml:space="preserve"> </w:t>
      </w:r>
      <w:r w:rsidR="00B42A3F" w:rsidRPr="00AD25D6">
        <w:rPr>
          <w:rFonts w:ascii="Charter" w:hAnsi="Charter"/>
          <w:i/>
          <w:iCs/>
          <w:sz w:val="24"/>
          <w:szCs w:val="24"/>
        </w:rPr>
        <w:t>Id.</w:t>
      </w:r>
      <w:r w:rsidR="00B42A3F" w:rsidRPr="00AD25D6">
        <w:rPr>
          <w:rFonts w:ascii="Charter" w:hAnsi="Charter"/>
          <w:sz w:val="24"/>
          <w:szCs w:val="24"/>
        </w:rPr>
        <w:t xml:space="preserve"> at 162.</w:t>
      </w:r>
    </w:p>
  </w:footnote>
  <w:footnote w:id="29">
    <w:p w14:paraId="217CF2F7" w14:textId="77777777" w:rsidR="00964065" w:rsidRDefault="00964065" w:rsidP="00964065">
      <w:pPr>
        <w:spacing w:line="240" w:lineRule="auto"/>
        <w:rPr>
          <w:sz w:val="20"/>
          <w:szCs w:val="20"/>
        </w:rPr>
      </w:pPr>
      <w:r w:rsidRPr="00AD25D6">
        <w:rPr>
          <w:rFonts w:ascii="Charter" w:hAnsi="Charter"/>
          <w:sz w:val="24"/>
          <w:szCs w:val="24"/>
          <w:vertAlign w:val="superscript"/>
        </w:rPr>
        <w:footnoteRef/>
      </w:r>
      <w:r w:rsidRPr="00AD25D6">
        <w:rPr>
          <w:rFonts w:ascii="Charter" w:hAnsi="Charter"/>
          <w:sz w:val="24"/>
          <w:szCs w:val="24"/>
        </w:rPr>
        <w:t xml:space="preserve"> 36 CFR 219.3.</w:t>
      </w:r>
    </w:p>
  </w:footnote>
  <w:footnote w:id="30">
    <w:p w14:paraId="5181A4A7" w14:textId="339B55BF" w:rsidR="00964065" w:rsidRPr="00AD25D6" w:rsidRDefault="00964065" w:rsidP="001620AB">
      <w:pPr>
        <w:spacing w:after="0" w:line="240" w:lineRule="auto"/>
        <w:rPr>
          <w:rFonts w:ascii="Charter" w:hAnsi="Charter"/>
          <w:sz w:val="24"/>
          <w:szCs w:val="24"/>
        </w:rPr>
      </w:pPr>
      <w:r w:rsidRPr="00AD25D6">
        <w:rPr>
          <w:rFonts w:ascii="Charter" w:hAnsi="Charter"/>
          <w:sz w:val="24"/>
          <w:szCs w:val="24"/>
          <w:vertAlign w:val="superscript"/>
        </w:rPr>
        <w:footnoteRef/>
      </w:r>
      <w:r w:rsidRPr="00AD25D6">
        <w:rPr>
          <w:rFonts w:ascii="Charter" w:hAnsi="Charter"/>
          <w:sz w:val="24"/>
          <w:szCs w:val="24"/>
        </w:rPr>
        <w:t xml:space="preserve"> </w:t>
      </w:r>
      <w:r w:rsidR="007310C1" w:rsidRPr="00AD25D6">
        <w:rPr>
          <w:rFonts w:ascii="Charter" w:hAnsi="Charter"/>
          <w:sz w:val="24"/>
          <w:szCs w:val="24"/>
        </w:rPr>
        <w:t>G</w:t>
      </w:r>
      <w:r w:rsidR="00AD25D6" w:rsidRPr="00AD25D6">
        <w:rPr>
          <w:rFonts w:ascii="Charter" w:hAnsi="Charter"/>
          <w:sz w:val="24"/>
          <w:szCs w:val="24"/>
        </w:rPr>
        <w:t>M</w:t>
      </w:r>
      <w:r w:rsidR="007310C1" w:rsidRPr="00AD25D6">
        <w:rPr>
          <w:rFonts w:ascii="Charter" w:hAnsi="Charter"/>
          <w:sz w:val="24"/>
          <w:szCs w:val="24"/>
        </w:rPr>
        <w:t>UG DEIS at</w:t>
      </w:r>
      <w:r w:rsidRPr="00AD25D6">
        <w:rPr>
          <w:rFonts w:ascii="Charter" w:hAnsi="Charter"/>
          <w:sz w:val="24"/>
          <w:szCs w:val="24"/>
        </w:rPr>
        <w:t xml:space="preserve"> 163.</w:t>
      </w:r>
    </w:p>
  </w:footnote>
  <w:footnote w:id="31">
    <w:p w14:paraId="759679F9" w14:textId="77777777" w:rsidR="00964065" w:rsidRPr="00AD25D6" w:rsidRDefault="00964065" w:rsidP="001620AB">
      <w:pPr>
        <w:spacing w:after="0" w:line="240" w:lineRule="auto"/>
        <w:rPr>
          <w:rFonts w:ascii="Charter" w:hAnsi="Charter"/>
          <w:sz w:val="24"/>
          <w:szCs w:val="24"/>
        </w:rPr>
      </w:pPr>
      <w:r w:rsidRPr="00AD25D6">
        <w:rPr>
          <w:rFonts w:ascii="Charter" w:hAnsi="Charter"/>
          <w:sz w:val="24"/>
          <w:szCs w:val="24"/>
          <w:vertAlign w:val="superscript"/>
        </w:rPr>
        <w:footnoteRef/>
      </w:r>
      <w:r w:rsidRPr="00AD25D6">
        <w:rPr>
          <w:rFonts w:ascii="Charter" w:hAnsi="Charter"/>
          <w:sz w:val="24"/>
          <w:szCs w:val="24"/>
        </w:rPr>
        <w:t xml:space="preserve"> </w:t>
      </w:r>
      <w:r w:rsidRPr="00AD25D6">
        <w:rPr>
          <w:rFonts w:ascii="Charter" w:hAnsi="Charter"/>
          <w:i/>
          <w:sz w:val="24"/>
          <w:szCs w:val="24"/>
        </w:rPr>
        <w:t>Id</w:t>
      </w:r>
      <w:r w:rsidRPr="00AD25D6">
        <w:rPr>
          <w:rFonts w:ascii="Charter" w:hAnsi="Charter"/>
          <w:sz w:val="24"/>
          <w:szCs w:val="24"/>
        </w:rPr>
        <w:t>. at 55.</w:t>
      </w:r>
    </w:p>
  </w:footnote>
  <w:footnote w:id="32">
    <w:p w14:paraId="28D24776" w14:textId="77777777" w:rsidR="00964065" w:rsidRPr="00AD25D6" w:rsidRDefault="00964065" w:rsidP="001620AB">
      <w:pPr>
        <w:spacing w:after="0" w:line="240" w:lineRule="auto"/>
        <w:rPr>
          <w:rFonts w:ascii="Charter" w:hAnsi="Charter"/>
          <w:sz w:val="24"/>
          <w:szCs w:val="24"/>
        </w:rPr>
      </w:pPr>
      <w:r w:rsidRPr="00AD25D6">
        <w:rPr>
          <w:rFonts w:ascii="Charter" w:hAnsi="Charter"/>
          <w:sz w:val="24"/>
          <w:szCs w:val="24"/>
          <w:vertAlign w:val="superscript"/>
        </w:rPr>
        <w:footnoteRef/>
      </w:r>
      <w:r w:rsidRPr="00AD25D6">
        <w:rPr>
          <w:rFonts w:ascii="Charter" w:hAnsi="Charter"/>
          <w:sz w:val="24"/>
          <w:szCs w:val="24"/>
        </w:rPr>
        <w:t xml:space="preserve"> </w:t>
      </w:r>
      <w:r w:rsidRPr="00AD25D6">
        <w:rPr>
          <w:rFonts w:ascii="Charter" w:hAnsi="Charter"/>
          <w:i/>
          <w:sz w:val="24"/>
          <w:szCs w:val="24"/>
        </w:rPr>
        <w:t>Id</w:t>
      </w:r>
      <w:r w:rsidRPr="00AD25D6">
        <w:rPr>
          <w:rFonts w:ascii="Charter" w:hAnsi="Charter"/>
          <w:sz w:val="24"/>
          <w:szCs w:val="24"/>
        </w:rPr>
        <w:t>. at 163.</w:t>
      </w:r>
    </w:p>
  </w:footnote>
  <w:footnote w:id="33">
    <w:p w14:paraId="260C330A" w14:textId="77777777" w:rsidR="00964065" w:rsidRPr="00AD25D6" w:rsidRDefault="00964065" w:rsidP="001620AB">
      <w:pPr>
        <w:spacing w:after="0" w:line="240" w:lineRule="auto"/>
        <w:rPr>
          <w:rFonts w:ascii="Charter" w:hAnsi="Charter"/>
          <w:sz w:val="24"/>
          <w:szCs w:val="24"/>
        </w:rPr>
      </w:pPr>
      <w:r w:rsidRPr="00AD25D6">
        <w:rPr>
          <w:rFonts w:ascii="Charter" w:hAnsi="Charter"/>
          <w:sz w:val="24"/>
          <w:szCs w:val="24"/>
          <w:vertAlign w:val="superscript"/>
        </w:rPr>
        <w:footnoteRef/>
      </w:r>
      <w:r w:rsidRPr="00AD25D6">
        <w:rPr>
          <w:rFonts w:ascii="Charter" w:hAnsi="Charter"/>
          <w:sz w:val="24"/>
          <w:szCs w:val="24"/>
        </w:rPr>
        <w:t xml:space="preserve"> </w:t>
      </w:r>
      <w:r w:rsidRPr="00AD25D6">
        <w:rPr>
          <w:rFonts w:ascii="Charter" w:hAnsi="Charter"/>
          <w:i/>
          <w:sz w:val="24"/>
          <w:szCs w:val="24"/>
        </w:rPr>
        <w:t>Id</w:t>
      </w:r>
      <w:r w:rsidRPr="00AD25D6">
        <w:rPr>
          <w:rFonts w:ascii="Charter" w:hAnsi="Charter"/>
          <w:sz w:val="24"/>
          <w:szCs w:val="24"/>
        </w:rPr>
        <w:t>.</w:t>
      </w:r>
    </w:p>
  </w:footnote>
  <w:footnote w:id="34">
    <w:p w14:paraId="3D0ED0D0" w14:textId="77777777" w:rsidR="00964065" w:rsidRPr="00AD25D6" w:rsidRDefault="00964065" w:rsidP="007310C1">
      <w:pPr>
        <w:spacing w:after="0" w:line="240" w:lineRule="auto"/>
        <w:rPr>
          <w:sz w:val="24"/>
          <w:szCs w:val="24"/>
        </w:rPr>
      </w:pPr>
      <w:r w:rsidRPr="00AD25D6">
        <w:rPr>
          <w:rFonts w:ascii="Charter" w:hAnsi="Charter"/>
          <w:sz w:val="24"/>
          <w:szCs w:val="24"/>
          <w:vertAlign w:val="superscript"/>
        </w:rPr>
        <w:footnoteRef/>
      </w:r>
      <w:r w:rsidRPr="00AD25D6">
        <w:rPr>
          <w:rFonts w:ascii="Charter" w:hAnsi="Charter"/>
          <w:sz w:val="24"/>
          <w:szCs w:val="24"/>
        </w:rPr>
        <w:t xml:space="preserve"> 36 CFR 219.9(b)(1).</w:t>
      </w:r>
    </w:p>
  </w:footnote>
  <w:footnote w:id="35">
    <w:p w14:paraId="7C6D8EA8" w14:textId="77777777" w:rsidR="00964065" w:rsidRDefault="00964065" w:rsidP="001620AB">
      <w:pPr>
        <w:spacing w:after="0" w:line="240" w:lineRule="auto"/>
        <w:rPr>
          <w:sz w:val="20"/>
          <w:szCs w:val="20"/>
        </w:rPr>
      </w:pPr>
      <w:r w:rsidRPr="00AD25D6">
        <w:rPr>
          <w:sz w:val="24"/>
          <w:szCs w:val="24"/>
          <w:vertAlign w:val="superscript"/>
        </w:rPr>
        <w:footnoteRef/>
      </w:r>
      <w:r w:rsidRPr="00AD25D6">
        <w:rPr>
          <w:sz w:val="24"/>
          <w:szCs w:val="24"/>
        </w:rPr>
        <w:t xml:space="preserve"> 36 CFR 219.9(c).</w:t>
      </w:r>
    </w:p>
  </w:footnote>
  <w:footnote w:id="36">
    <w:p w14:paraId="1206ADBB" w14:textId="77777777" w:rsidR="00964065" w:rsidRPr="00AD25D6" w:rsidRDefault="00964065" w:rsidP="001620AB">
      <w:pPr>
        <w:spacing w:after="0" w:line="240" w:lineRule="auto"/>
        <w:rPr>
          <w:sz w:val="24"/>
          <w:szCs w:val="24"/>
        </w:rPr>
      </w:pPr>
      <w:r w:rsidRPr="00AD25D6">
        <w:rPr>
          <w:sz w:val="24"/>
          <w:szCs w:val="24"/>
          <w:vertAlign w:val="superscript"/>
        </w:rPr>
        <w:footnoteRef/>
      </w:r>
      <w:r w:rsidRPr="00AD25D6">
        <w:rPr>
          <w:sz w:val="24"/>
          <w:szCs w:val="24"/>
        </w:rPr>
        <w:t xml:space="preserve"> Executive Order 12866 Section 1(b)(7).</w:t>
      </w:r>
    </w:p>
  </w:footnote>
  <w:footnote w:id="37">
    <w:p w14:paraId="2543AB96" w14:textId="77777777" w:rsidR="00964065" w:rsidRPr="00AD25D6" w:rsidRDefault="00964065" w:rsidP="001620AB">
      <w:pPr>
        <w:spacing w:after="0" w:line="240" w:lineRule="auto"/>
        <w:rPr>
          <w:sz w:val="24"/>
          <w:szCs w:val="24"/>
        </w:rPr>
      </w:pPr>
      <w:r w:rsidRPr="00AD25D6">
        <w:rPr>
          <w:sz w:val="24"/>
          <w:szCs w:val="24"/>
          <w:vertAlign w:val="superscript"/>
        </w:rPr>
        <w:footnoteRef/>
      </w:r>
      <w:r w:rsidRPr="00AD25D6">
        <w:rPr>
          <w:sz w:val="24"/>
          <w:szCs w:val="24"/>
        </w:rPr>
        <w:t xml:space="preserve"> 42 USCS 4332(a).</w:t>
      </w:r>
    </w:p>
  </w:footnote>
  <w:footnote w:id="38">
    <w:p w14:paraId="301A6C5D" w14:textId="77777777" w:rsidR="00964065" w:rsidRPr="00AD25D6" w:rsidRDefault="00964065" w:rsidP="001620AB">
      <w:pPr>
        <w:spacing w:after="0" w:line="240" w:lineRule="auto"/>
        <w:rPr>
          <w:sz w:val="24"/>
          <w:szCs w:val="24"/>
        </w:rPr>
      </w:pPr>
      <w:r w:rsidRPr="00AD25D6">
        <w:rPr>
          <w:sz w:val="24"/>
          <w:szCs w:val="24"/>
          <w:vertAlign w:val="superscript"/>
        </w:rPr>
        <w:footnoteRef/>
      </w:r>
      <w:r w:rsidRPr="00AD25D6">
        <w:rPr>
          <w:sz w:val="24"/>
          <w:szCs w:val="24"/>
        </w:rPr>
        <w:t xml:space="preserve"> </w:t>
      </w:r>
      <w:r w:rsidRPr="00AD25D6">
        <w:rPr>
          <w:i/>
          <w:sz w:val="24"/>
          <w:szCs w:val="24"/>
        </w:rPr>
        <w:t>Id</w:t>
      </w:r>
      <w:r w:rsidRPr="00AD25D6">
        <w:rPr>
          <w:sz w:val="24"/>
          <w:szCs w:val="24"/>
        </w:rPr>
        <w:t>.</w:t>
      </w:r>
    </w:p>
  </w:footnote>
  <w:footnote w:id="39">
    <w:p w14:paraId="00BC0195" w14:textId="77777777" w:rsidR="00964065" w:rsidRDefault="00964065" w:rsidP="00964065">
      <w:pPr>
        <w:spacing w:line="240" w:lineRule="auto"/>
        <w:rPr>
          <w:sz w:val="20"/>
          <w:szCs w:val="20"/>
        </w:rPr>
      </w:pPr>
      <w:r w:rsidRPr="00AD25D6">
        <w:rPr>
          <w:sz w:val="24"/>
          <w:szCs w:val="24"/>
          <w:vertAlign w:val="superscript"/>
        </w:rPr>
        <w:footnoteRef/>
      </w:r>
      <w:r w:rsidRPr="00AD25D6">
        <w:rPr>
          <w:sz w:val="24"/>
          <w:szCs w:val="24"/>
        </w:rPr>
        <w:t xml:space="preserve"> 36 CFR 219.3.</w:t>
      </w:r>
    </w:p>
  </w:footnote>
  <w:footnote w:id="40">
    <w:p w14:paraId="39FFF34B" w14:textId="1B7F2A98" w:rsidR="009639E9" w:rsidRPr="00AD25D6" w:rsidRDefault="009639E9" w:rsidP="009639E9">
      <w:pPr>
        <w:pStyle w:val="FootnoteText"/>
        <w:rPr>
          <w:rFonts w:ascii="Charter" w:hAnsi="Charter"/>
          <w:sz w:val="24"/>
          <w:szCs w:val="24"/>
        </w:rPr>
      </w:pPr>
      <w:r w:rsidRPr="00AD25D6">
        <w:rPr>
          <w:rStyle w:val="FootnoteReference"/>
          <w:rFonts w:ascii="Charter" w:eastAsiaTheme="majorEastAsia" w:hAnsi="Charter"/>
          <w:sz w:val="24"/>
          <w:szCs w:val="24"/>
        </w:rPr>
        <w:footnoteRef/>
      </w:r>
      <w:r w:rsidRPr="00AD25D6">
        <w:rPr>
          <w:rFonts w:ascii="Charter" w:hAnsi="Charter"/>
          <w:sz w:val="24"/>
          <w:szCs w:val="24"/>
        </w:rPr>
        <w:t xml:space="preserve"> </w:t>
      </w:r>
      <w:r w:rsidR="009426C1" w:rsidRPr="00AD25D6">
        <w:rPr>
          <w:rFonts w:ascii="Charter" w:hAnsi="Charter"/>
          <w:sz w:val="24"/>
          <w:szCs w:val="24"/>
        </w:rPr>
        <w:t>SRLA ROD at 7.</w:t>
      </w:r>
    </w:p>
  </w:footnote>
  <w:footnote w:id="41">
    <w:p w14:paraId="2B255133" w14:textId="6FB22CB8" w:rsidR="009639E9" w:rsidRPr="00AD25D6" w:rsidRDefault="009639E9" w:rsidP="009639E9">
      <w:pPr>
        <w:pStyle w:val="FootnoteText"/>
        <w:rPr>
          <w:rFonts w:ascii="Charter" w:hAnsi="Charter"/>
          <w:sz w:val="24"/>
          <w:szCs w:val="24"/>
        </w:rPr>
      </w:pPr>
      <w:r w:rsidRPr="00AD25D6">
        <w:rPr>
          <w:rStyle w:val="FootnoteReference"/>
          <w:rFonts w:ascii="Charter" w:eastAsiaTheme="majorEastAsia" w:hAnsi="Charter"/>
          <w:sz w:val="24"/>
          <w:szCs w:val="24"/>
        </w:rPr>
        <w:footnoteRef/>
      </w:r>
      <w:r w:rsidRPr="00AD25D6">
        <w:rPr>
          <w:rFonts w:ascii="Charter" w:hAnsi="Charter"/>
          <w:sz w:val="24"/>
          <w:szCs w:val="24"/>
        </w:rPr>
        <w:t xml:space="preserve"> </w:t>
      </w:r>
      <w:r w:rsidR="009426C1" w:rsidRPr="00AD25D6">
        <w:rPr>
          <w:rFonts w:ascii="Charter" w:hAnsi="Charter"/>
          <w:sz w:val="24"/>
          <w:szCs w:val="24"/>
        </w:rPr>
        <w:t xml:space="preserve">GMUG </w:t>
      </w:r>
      <w:r w:rsidRPr="00AD25D6">
        <w:rPr>
          <w:rFonts w:ascii="Charter" w:hAnsi="Charter"/>
          <w:sz w:val="24"/>
          <w:szCs w:val="24"/>
        </w:rPr>
        <w:t xml:space="preserve">DEIS </w:t>
      </w:r>
      <w:r w:rsidR="009426C1" w:rsidRPr="00AD25D6">
        <w:rPr>
          <w:rFonts w:ascii="Charter" w:hAnsi="Charter"/>
          <w:sz w:val="24"/>
          <w:szCs w:val="24"/>
        </w:rPr>
        <w:t xml:space="preserve">at </w:t>
      </w:r>
      <w:r w:rsidRPr="00AD25D6">
        <w:rPr>
          <w:rFonts w:ascii="Charter" w:hAnsi="Charter"/>
          <w:sz w:val="24"/>
          <w:szCs w:val="24"/>
        </w:rPr>
        <w:t>169</w:t>
      </w:r>
      <w:r w:rsidR="009426C1" w:rsidRPr="00AD25D6">
        <w:rPr>
          <w:rFonts w:ascii="Charter" w:hAnsi="Charter"/>
          <w:sz w:val="24"/>
          <w:szCs w:val="24"/>
        </w:rPr>
        <w:t>.</w:t>
      </w:r>
    </w:p>
  </w:footnote>
  <w:footnote w:id="42">
    <w:p w14:paraId="51A8D9E8" w14:textId="50B26A0A" w:rsidR="009639E9" w:rsidRPr="00AD25D6" w:rsidRDefault="009639E9" w:rsidP="009639E9">
      <w:pPr>
        <w:pStyle w:val="FootnoteText"/>
        <w:rPr>
          <w:rFonts w:ascii="Charter" w:hAnsi="Charter"/>
          <w:sz w:val="24"/>
          <w:szCs w:val="24"/>
        </w:rPr>
      </w:pPr>
      <w:r w:rsidRPr="00AD25D6">
        <w:rPr>
          <w:rStyle w:val="FootnoteReference"/>
          <w:rFonts w:ascii="Charter" w:eastAsiaTheme="majorEastAsia" w:hAnsi="Charter"/>
          <w:sz w:val="24"/>
          <w:szCs w:val="24"/>
        </w:rPr>
        <w:footnoteRef/>
      </w:r>
      <w:r w:rsidRPr="00AD25D6">
        <w:rPr>
          <w:rFonts w:ascii="Charter" w:hAnsi="Charter"/>
          <w:sz w:val="24"/>
          <w:szCs w:val="24"/>
        </w:rPr>
        <w:t xml:space="preserve"> SRLA ROD p. 7</w:t>
      </w:r>
      <w:r w:rsidR="00127B4B" w:rsidRPr="00AD25D6">
        <w:rPr>
          <w:rFonts w:ascii="Charter" w:hAnsi="Charter"/>
          <w:sz w:val="24"/>
          <w:szCs w:val="24"/>
        </w:rPr>
        <w:t>.</w:t>
      </w:r>
    </w:p>
  </w:footnote>
  <w:footnote w:id="43">
    <w:p w14:paraId="55BC84F4" w14:textId="1E3E9380" w:rsidR="009639E9" w:rsidRPr="00AD25D6" w:rsidRDefault="009639E9" w:rsidP="009639E9">
      <w:pPr>
        <w:pStyle w:val="FootnoteText"/>
        <w:rPr>
          <w:rFonts w:ascii="Charter" w:hAnsi="Charter"/>
          <w:sz w:val="24"/>
          <w:szCs w:val="24"/>
        </w:rPr>
      </w:pPr>
      <w:r w:rsidRPr="00AD25D6">
        <w:rPr>
          <w:rStyle w:val="FootnoteReference"/>
          <w:rFonts w:ascii="Charter" w:eastAsiaTheme="majorEastAsia" w:hAnsi="Charter"/>
          <w:sz w:val="24"/>
          <w:szCs w:val="24"/>
        </w:rPr>
        <w:footnoteRef/>
      </w:r>
      <w:r w:rsidRPr="00AD25D6">
        <w:rPr>
          <w:rFonts w:ascii="Charter" w:hAnsi="Charter"/>
          <w:sz w:val="24"/>
          <w:szCs w:val="24"/>
        </w:rPr>
        <w:t xml:space="preserve"> </w:t>
      </w:r>
      <w:r w:rsidR="00127B4B" w:rsidRPr="00AD25D6">
        <w:rPr>
          <w:rFonts w:ascii="Charter" w:hAnsi="Charter"/>
          <w:i/>
          <w:iCs/>
          <w:sz w:val="24"/>
          <w:szCs w:val="24"/>
        </w:rPr>
        <w:t xml:space="preserve">Id. </w:t>
      </w:r>
      <w:r w:rsidR="00127B4B" w:rsidRPr="00AD25D6">
        <w:rPr>
          <w:rFonts w:ascii="Charter" w:hAnsi="Charter"/>
          <w:sz w:val="24"/>
          <w:szCs w:val="24"/>
        </w:rPr>
        <w:t xml:space="preserve">at </w:t>
      </w:r>
      <w:r w:rsidRPr="00AD25D6">
        <w:rPr>
          <w:rFonts w:ascii="Charter" w:hAnsi="Charter"/>
          <w:sz w:val="24"/>
          <w:szCs w:val="24"/>
        </w:rPr>
        <w:t>23</w:t>
      </w:r>
      <w:r w:rsidR="00127B4B" w:rsidRPr="00AD25D6">
        <w:rPr>
          <w:rFonts w:ascii="Charter" w:hAnsi="Charter"/>
          <w:sz w:val="24"/>
          <w:szCs w:val="24"/>
        </w:rPr>
        <w:t>.</w:t>
      </w:r>
    </w:p>
  </w:footnote>
  <w:footnote w:id="44">
    <w:p w14:paraId="3C455F28" w14:textId="5A68CFFE" w:rsidR="009639E9" w:rsidRPr="00AD25D6" w:rsidRDefault="009639E9" w:rsidP="009639E9">
      <w:pPr>
        <w:pStyle w:val="FootnoteText"/>
        <w:rPr>
          <w:rFonts w:ascii="Charter" w:hAnsi="Charter"/>
          <w:sz w:val="24"/>
          <w:szCs w:val="24"/>
        </w:rPr>
      </w:pPr>
      <w:r w:rsidRPr="00AD25D6">
        <w:rPr>
          <w:rStyle w:val="FootnoteReference"/>
          <w:rFonts w:ascii="Charter" w:eastAsiaTheme="majorEastAsia" w:hAnsi="Charter"/>
          <w:sz w:val="24"/>
          <w:szCs w:val="24"/>
        </w:rPr>
        <w:footnoteRef/>
      </w:r>
      <w:r w:rsidRPr="00AD25D6">
        <w:rPr>
          <w:rFonts w:ascii="Charter" w:hAnsi="Charter"/>
          <w:sz w:val="24"/>
          <w:szCs w:val="24"/>
        </w:rPr>
        <w:t xml:space="preserve"> </w:t>
      </w:r>
      <w:r w:rsidR="00127B4B" w:rsidRPr="00AD25D6">
        <w:rPr>
          <w:rFonts w:ascii="Charter" w:hAnsi="Charter"/>
          <w:i/>
          <w:iCs/>
          <w:sz w:val="24"/>
          <w:szCs w:val="24"/>
        </w:rPr>
        <w:t xml:space="preserve">Id. </w:t>
      </w:r>
      <w:r w:rsidR="00127B4B" w:rsidRPr="00AD25D6">
        <w:rPr>
          <w:rFonts w:ascii="Charter" w:hAnsi="Charter"/>
          <w:sz w:val="24"/>
          <w:szCs w:val="24"/>
        </w:rPr>
        <w:t xml:space="preserve">at </w:t>
      </w:r>
      <w:r w:rsidRPr="00AD25D6">
        <w:rPr>
          <w:rFonts w:ascii="Charter" w:hAnsi="Charter"/>
          <w:sz w:val="24"/>
          <w:szCs w:val="24"/>
        </w:rPr>
        <w:t>6</w:t>
      </w:r>
      <w:r w:rsidR="00127B4B" w:rsidRPr="00AD25D6">
        <w:rPr>
          <w:rFonts w:ascii="Charter" w:hAnsi="Charter"/>
          <w:sz w:val="24"/>
          <w:szCs w:val="24"/>
        </w:rPr>
        <w:t>.</w:t>
      </w:r>
    </w:p>
  </w:footnote>
  <w:footnote w:id="45">
    <w:p w14:paraId="244B4377" w14:textId="7F7953EA" w:rsidR="009639E9" w:rsidRPr="00AD25D6" w:rsidRDefault="009639E9" w:rsidP="009639E9">
      <w:pPr>
        <w:pStyle w:val="FootnoteText"/>
        <w:rPr>
          <w:rFonts w:ascii="Charter" w:hAnsi="Charter"/>
          <w:sz w:val="24"/>
          <w:szCs w:val="24"/>
        </w:rPr>
      </w:pPr>
      <w:r w:rsidRPr="00AD25D6">
        <w:rPr>
          <w:rStyle w:val="FootnoteReference"/>
          <w:rFonts w:ascii="Charter" w:eastAsiaTheme="majorEastAsia" w:hAnsi="Charter"/>
          <w:sz w:val="24"/>
          <w:szCs w:val="24"/>
        </w:rPr>
        <w:footnoteRef/>
      </w:r>
      <w:r w:rsidRPr="00AD25D6">
        <w:rPr>
          <w:rFonts w:ascii="Charter" w:hAnsi="Charter"/>
          <w:sz w:val="24"/>
          <w:szCs w:val="24"/>
        </w:rPr>
        <w:t xml:space="preserve"> </w:t>
      </w:r>
      <w:r w:rsidR="009426C1" w:rsidRPr="00AD25D6">
        <w:rPr>
          <w:rFonts w:ascii="Charter" w:hAnsi="Charter"/>
          <w:sz w:val="24"/>
          <w:szCs w:val="24"/>
        </w:rPr>
        <w:t xml:space="preserve">GMUG </w:t>
      </w:r>
      <w:r w:rsidRPr="00AD25D6">
        <w:rPr>
          <w:rFonts w:ascii="Charter" w:hAnsi="Charter"/>
          <w:sz w:val="24"/>
          <w:szCs w:val="24"/>
        </w:rPr>
        <w:t xml:space="preserve">DEIS </w:t>
      </w:r>
      <w:r w:rsidR="009426C1" w:rsidRPr="00AD25D6">
        <w:rPr>
          <w:rFonts w:ascii="Charter" w:hAnsi="Charter"/>
          <w:sz w:val="24"/>
          <w:szCs w:val="24"/>
        </w:rPr>
        <w:t xml:space="preserve">at </w:t>
      </w:r>
      <w:r w:rsidRPr="00AD25D6">
        <w:rPr>
          <w:rFonts w:ascii="Charter" w:hAnsi="Charter"/>
          <w:sz w:val="24"/>
          <w:szCs w:val="24"/>
        </w:rPr>
        <w:t>170</w:t>
      </w:r>
      <w:r w:rsidR="009426C1" w:rsidRPr="00AD25D6">
        <w:rPr>
          <w:rFonts w:ascii="Charter" w:hAnsi="Charter"/>
          <w:sz w:val="24"/>
          <w:szCs w:val="24"/>
        </w:rPr>
        <w:t>.</w:t>
      </w:r>
    </w:p>
  </w:footnote>
  <w:footnote w:id="46">
    <w:p w14:paraId="7667FDD3" w14:textId="74A9B3A3" w:rsidR="009639E9" w:rsidRDefault="009639E9" w:rsidP="009639E9">
      <w:pPr>
        <w:pStyle w:val="FootnoteText"/>
      </w:pPr>
      <w:r w:rsidRPr="00AD25D6">
        <w:rPr>
          <w:rStyle w:val="FootnoteReference"/>
          <w:rFonts w:ascii="Charter" w:eastAsiaTheme="majorEastAsia" w:hAnsi="Charter"/>
          <w:sz w:val="24"/>
          <w:szCs w:val="24"/>
        </w:rPr>
        <w:footnoteRef/>
      </w:r>
      <w:r w:rsidRPr="00AD25D6">
        <w:rPr>
          <w:rFonts w:ascii="Charter" w:hAnsi="Charter"/>
          <w:sz w:val="24"/>
          <w:szCs w:val="24"/>
        </w:rPr>
        <w:t xml:space="preserve"> </w:t>
      </w:r>
      <w:r w:rsidR="00473447" w:rsidRPr="00AD25D6">
        <w:rPr>
          <w:rFonts w:ascii="Charter" w:hAnsi="Charter"/>
          <w:i/>
          <w:iCs/>
          <w:sz w:val="24"/>
          <w:szCs w:val="24"/>
        </w:rPr>
        <w:t xml:space="preserve">Id. </w:t>
      </w:r>
      <w:r w:rsidR="00473447" w:rsidRPr="00AD25D6">
        <w:rPr>
          <w:rFonts w:ascii="Charter" w:hAnsi="Charter"/>
          <w:sz w:val="24"/>
          <w:szCs w:val="24"/>
        </w:rPr>
        <w:t>at</w:t>
      </w:r>
      <w:r w:rsidRPr="00AD25D6">
        <w:rPr>
          <w:rFonts w:ascii="Charter" w:hAnsi="Charter"/>
          <w:sz w:val="24"/>
          <w:szCs w:val="24"/>
        </w:rPr>
        <w:t xml:space="preserve"> 171-72</w:t>
      </w:r>
      <w:r w:rsidR="00473447" w:rsidRPr="00AD25D6">
        <w:rPr>
          <w:rFonts w:ascii="Charter" w:hAnsi="Charter"/>
          <w:sz w:val="24"/>
          <w:szCs w:val="24"/>
        </w:rPr>
        <w:t>.</w:t>
      </w:r>
    </w:p>
  </w:footnote>
  <w:footnote w:id="47">
    <w:p w14:paraId="0E818071" w14:textId="2552AD56" w:rsidR="009639E9" w:rsidRPr="00AD25D6" w:rsidRDefault="009639E9" w:rsidP="009639E9">
      <w:pPr>
        <w:pStyle w:val="FootnoteText"/>
        <w:rPr>
          <w:rFonts w:ascii="Charter" w:hAnsi="Charter"/>
          <w:sz w:val="24"/>
          <w:szCs w:val="24"/>
        </w:rPr>
      </w:pPr>
      <w:r w:rsidRPr="00AD25D6">
        <w:rPr>
          <w:rStyle w:val="FootnoteReference"/>
          <w:rFonts w:ascii="Charter" w:eastAsiaTheme="majorEastAsia" w:hAnsi="Charter"/>
          <w:sz w:val="24"/>
          <w:szCs w:val="24"/>
        </w:rPr>
        <w:footnoteRef/>
      </w:r>
      <w:r w:rsidRPr="00AD25D6">
        <w:rPr>
          <w:rFonts w:ascii="Charter" w:hAnsi="Charter"/>
          <w:sz w:val="24"/>
          <w:szCs w:val="24"/>
        </w:rPr>
        <w:t xml:space="preserve"> </w:t>
      </w:r>
      <w:r w:rsidR="00473447" w:rsidRPr="00AD25D6">
        <w:rPr>
          <w:rFonts w:ascii="Charter" w:hAnsi="Charter"/>
          <w:sz w:val="24"/>
          <w:szCs w:val="24"/>
        </w:rPr>
        <w:t xml:space="preserve">GMUG </w:t>
      </w:r>
      <w:r w:rsidRPr="00AD25D6">
        <w:rPr>
          <w:rFonts w:ascii="Charter" w:hAnsi="Charter"/>
          <w:sz w:val="24"/>
          <w:szCs w:val="24"/>
        </w:rPr>
        <w:t xml:space="preserve">DEIS </w:t>
      </w:r>
      <w:r w:rsidR="00473447" w:rsidRPr="00AD25D6">
        <w:rPr>
          <w:rFonts w:ascii="Charter" w:hAnsi="Charter"/>
          <w:sz w:val="24"/>
          <w:szCs w:val="24"/>
        </w:rPr>
        <w:t>at</w:t>
      </w:r>
      <w:r w:rsidRPr="00AD25D6">
        <w:rPr>
          <w:rFonts w:ascii="Charter" w:hAnsi="Charter"/>
          <w:sz w:val="24"/>
          <w:szCs w:val="24"/>
        </w:rPr>
        <w:t xml:space="preserve"> 392. The DEIS </w:t>
      </w:r>
      <w:r w:rsidR="00473447" w:rsidRPr="00AD25D6">
        <w:rPr>
          <w:rFonts w:ascii="Charter" w:hAnsi="Charter"/>
          <w:sz w:val="24"/>
          <w:szCs w:val="24"/>
        </w:rPr>
        <w:t xml:space="preserve">also </w:t>
      </w:r>
      <w:r w:rsidRPr="00AD25D6">
        <w:rPr>
          <w:rFonts w:ascii="Charter" w:hAnsi="Charter"/>
          <w:sz w:val="24"/>
          <w:szCs w:val="24"/>
        </w:rPr>
        <w:t>makes a similar argument about the proposed removal of VEG Standard S6, discussed infra.</w:t>
      </w:r>
    </w:p>
  </w:footnote>
  <w:footnote w:id="48">
    <w:p w14:paraId="19291B09" w14:textId="2017FB80" w:rsidR="009639E9" w:rsidRPr="00AD25D6" w:rsidRDefault="009639E9" w:rsidP="009639E9">
      <w:pPr>
        <w:pStyle w:val="FootnoteText"/>
        <w:rPr>
          <w:sz w:val="24"/>
          <w:szCs w:val="24"/>
        </w:rPr>
      </w:pPr>
      <w:r w:rsidRPr="00AD25D6">
        <w:rPr>
          <w:rStyle w:val="FootnoteReference"/>
          <w:rFonts w:ascii="Charter" w:eastAsiaTheme="majorEastAsia" w:hAnsi="Charter"/>
          <w:sz w:val="24"/>
          <w:szCs w:val="24"/>
        </w:rPr>
        <w:footnoteRef/>
      </w:r>
      <w:r w:rsidRPr="00AD25D6">
        <w:rPr>
          <w:rFonts w:ascii="Charter" w:hAnsi="Charter"/>
          <w:sz w:val="24"/>
          <w:szCs w:val="24"/>
        </w:rPr>
        <w:t xml:space="preserve"> </w:t>
      </w:r>
      <w:r w:rsidR="00072431" w:rsidRPr="00AD25D6">
        <w:rPr>
          <w:rFonts w:ascii="Charter" w:hAnsi="Charter"/>
          <w:i/>
          <w:iCs/>
          <w:sz w:val="24"/>
          <w:szCs w:val="24"/>
        </w:rPr>
        <w:t>Id.</w:t>
      </w:r>
    </w:p>
  </w:footnote>
  <w:footnote w:id="49">
    <w:p w14:paraId="0EC5F41B" w14:textId="27DE544C" w:rsidR="003C3CE5" w:rsidRPr="00AD25D6" w:rsidRDefault="003C3CE5" w:rsidP="003C3CE5">
      <w:pPr>
        <w:pStyle w:val="FootnoteText"/>
        <w:rPr>
          <w:rFonts w:ascii="Charter" w:hAnsi="Charter"/>
          <w:sz w:val="24"/>
          <w:szCs w:val="24"/>
        </w:rPr>
      </w:pPr>
      <w:r w:rsidRPr="00AD25D6">
        <w:rPr>
          <w:rStyle w:val="FootnoteReference"/>
          <w:rFonts w:ascii="Charter" w:eastAsiaTheme="majorEastAsia" w:hAnsi="Charter"/>
          <w:sz w:val="24"/>
          <w:szCs w:val="24"/>
        </w:rPr>
        <w:footnoteRef/>
      </w:r>
      <w:r w:rsidRPr="00AD25D6">
        <w:rPr>
          <w:rFonts w:ascii="Charter" w:hAnsi="Charter"/>
          <w:sz w:val="24"/>
          <w:szCs w:val="24"/>
        </w:rPr>
        <w:t xml:space="preserve"> </w:t>
      </w:r>
      <w:r w:rsidR="00072431" w:rsidRPr="00AD25D6">
        <w:rPr>
          <w:rFonts w:ascii="Charter" w:hAnsi="Charter"/>
          <w:sz w:val="24"/>
          <w:szCs w:val="24"/>
        </w:rPr>
        <w:t xml:space="preserve">SRLA </w:t>
      </w:r>
      <w:r w:rsidRPr="00AD25D6">
        <w:rPr>
          <w:rFonts w:ascii="Charter" w:hAnsi="Charter"/>
          <w:sz w:val="24"/>
          <w:szCs w:val="24"/>
        </w:rPr>
        <w:t xml:space="preserve">ROD </w:t>
      </w:r>
      <w:r w:rsidR="00072431" w:rsidRPr="00AD25D6">
        <w:rPr>
          <w:rFonts w:ascii="Charter" w:hAnsi="Charter"/>
          <w:sz w:val="24"/>
          <w:szCs w:val="24"/>
        </w:rPr>
        <w:t>at</w:t>
      </w:r>
      <w:r w:rsidRPr="00AD25D6">
        <w:rPr>
          <w:rFonts w:ascii="Charter" w:hAnsi="Charter"/>
          <w:sz w:val="24"/>
          <w:szCs w:val="24"/>
        </w:rPr>
        <w:t xml:space="preserve"> 9</w:t>
      </w:r>
      <w:r w:rsidR="00072431" w:rsidRPr="00AD25D6">
        <w:rPr>
          <w:rFonts w:ascii="Charter" w:hAnsi="Charter"/>
          <w:sz w:val="24"/>
          <w:szCs w:val="24"/>
        </w:rPr>
        <w:t>.</w:t>
      </w:r>
    </w:p>
  </w:footnote>
  <w:footnote w:id="50">
    <w:p w14:paraId="5B327138" w14:textId="38856722" w:rsidR="003C3CE5" w:rsidRPr="00AD25D6" w:rsidRDefault="003C3CE5" w:rsidP="003C3CE5">
      <w:pPr>
        <w:pStyle w:val="FootnoteText"/>
        <w:rPr>
          <w:rFonts w:ascii="Charter" w:hAnsi="Charter"/>
        </w:rPr>
      </w:pPr>
      <w:r w:rsidRPr="00AD25D6">
        <w:rPr>
          <w:rStyle w:val="FootnoteReference"/>
          <w:rFonts w:ascii="Charter" w:eastAsiaTheme="majorEastAsia" w:hAnsi="Charter"/>
          <w:sz w:val="24"/>
          <w:szCs w:val="24"/>
        </w:rPr>
        <w:footnoteRef/>
      </w:r>
      <w:r w:rsidRPr="00AD25D6">
        <w:rPr>
          <w:rFonts w:ascii="Charter" w:hAnsi="Charter"/>
          <w:sz w:val="24"/>
          <w:szCs w:val="24"/>
        </w:rPr>
        <w:t xml:space="preserve"> </w:t>
      </w:r>
      <w:r w:rsidR="00072431" w:rsidRPr="00AD25D6">
        <w:rPr>
          <w:rFonts w:ascii="Charter" w:hAnsi="Charter"/>
          <w:sz w:val="24"/>
          <w:szCs w:val="24"/>
        </w:rPr>
        <w:t xml:space="preserve">SRLA </w:t>
      </w:r>
      <w:r w:rsidRPr="00AD25D6">
        <w:rPr>
          <w:rFonts w:ascii="Charter" w:hAnsi="Charter"/>
          <w:sz w:val="24"/>
          <w:szCs w:val="24"/>
        </w:rPr>
        <w:t xml:space="preserve">ROD </w:t>
      </w:r>
      <w:r w:rsidR="00072431" w:rsidRPr="00AD25D6">
        <w:rPr>
          <w:rFonts w:ascii="Charter" w:hAnsi="Charter"/>
          <w:sz w:val="24"/>
          <w:szCs w:val="24"/>
        </w:rPr>
        <w:t xml:space="preserve">at </w:t>
      </w:r>
      <w:r w:rsidRPr="00AD25D6">
        <w:rPr>
          <w:rFonts w:ascii="Charter" w:hAnsi="Charter"/>
          <w:sz w:val="24"/>
          <w:szCs w:val="24"/>
        </w:rPr>
        <w:t>2</w:t>
      </w:r>
      <w:r w:rsidR="00072431" w:rsidRPr="00AD25D6">
        <w:rPr>
          <w:rFonts w:ascii="Charter" w:hAnsi="Charter"/>
          <w:sz w:val="24"/>
          <w:szCs w:val="24"/>
        </w:rPr>
        <w:t>.</w:t>
      </w:r>
    </w:p>
  </w:footnote>
  <w:footnote w:id="51">
    <w:p w14:paraId="392E6123" w14:textId="01333622" w:rsidR="003C3CE5" w:rsidRPr="00AD25D6" w:rsidRDefault="003C3CE5" w:rsidP="003C3CE5">
      <w:pPr>
        <w:pStyle w:val="FootnoteText"/>
        <w:rPr>
          <w:rFonts w:ascii="Charter" w:hAnsi="Charter"/>
          <w:sz w:val="24"/>
          <w:szCs w:val="24"/>
        </w:rPr>
      </w:pPr>
      <w:r w:rsidRPr="00AD25D6">
        <w:rPr>
          <w:rStyle w:val="FootnoteReference"/>
          <w:rFonts w:ascii="Charter" w:eastAsiaTheme="majorEastAsia" w:hAnsi="Charter"/>
          <w:sz w:val="24"/>
          <w:szCs w:val="24"/>
        </w:rPr>
        <w:footnoteRef/>
      </w:r>
      <w:r w:rsidRPr="00AD25D6">
        <w:rPr>
          <w:rFonts w:ascii="Charter" w:hAnsi="Charter"/>
          <w:sz w:val="24"/>
          <w:szCs w:val="24"/>
        </w:rPr>
        <w:t xml:space="preserve"> </w:t>
      </w:r>
      <w:r w:rsidR="00487CE2" w:rsidRPr="00AD25D6">
        <w:rPr>
          <w:rFonts w:ascii="Charter" w:hAnsi="Charter"/>
          <w:sz w:val="24"/>
          <w:szCs w:val="24"/>
        </w:rPr>
        <w:t xml:space="preserve">Report of the </w:t>
      </w:r>
      <w:r w:rsidRPr="00AD25D6">
        <w:rPr>
          <w:rFonts w:ascii="Charter" w:hAnsi="Charter"/>
          <w:sz w:val="24"/>
          <w:szCs w:val="24"/>
        </w:rPr>
        <w:t>S</w:t>
      </w:r>
      <w:r w:rsidR="00E57B1D" w:rsidRPr="00AD25D6">
        <w:rPr>
          <w:rFonts w:ascii="Charter" w:hAnsi="Charter"/>
          <w:sz w:val="24"/>
          <w:szCs w:val="24"/>
        </w:rPr>
        <w:t>pruce Beetle Epidemic &amp; Aspen Decline Management Response team</w:t>
      </w:r>
      <w:r w:rsidR="0012472A" w:rsidRPr="00AD25D6">
        <w:rPr>
          <w:rFonts w:ascii="Charter" w:hAnsi="Charter"/>
          <w:sz w:val="24"/>
          <w:szCs w:val="24"/>
        </w:rPr>
        <w:t>, Colorado Forest Restoration Institute, Colorado State University</w:t>
      </w:r>
      <w:r w:rsidR="004C792A" w:rsidRPr="00AD25D6">
        <w:rPr>
          <w:rFonts w:ascii="Charter" w:hAnsi="Charter"/>
          <w:sz w:val="24"/>
          <w:szCs w:val="24"/>
        </w:rPr>
        <w:t xml:space="preserve"> (“SBEADMR Report”)</w:t>
      </w:r>
      <w:r w:rsidR="0012472A" w:rsidRPr="00AD25D6">
        <w:rPr>
          <w:rFonts w:ascii="Charter" w:hAnsi="Charter"/>
          <w:sz w:val="24"/>
          <w:szCs w:val="24"/>
        </w:rPr>
        <w:t xml:space="preserve">; </w:t>
      </w:r>
      <w:r w:rsidRPr="00AD25D6">
        <w:rPr>
          <w:rFonts w:ascii="Charter" w:hAnsi="Charter"/>
          <w:sz w:val="24"/>
          <w:szCs w:val="24"/>
        </w:rPr>
        <w:t>https://cfri.colostate.edu/projects/sbeadmr/#1601570250415-ef7bf63d-73dc</w:t>
      </w:r>
    </w:p>
  </w:footnote>
  <w:footnote w:id="52">
    <w:p w14:paraId="435155DB" w14:textId="473E3B56" w:rsidR="003C3CE5" w:rsidRPr="00AD25D6" w:rsidRDefault="003C3CE5" w:rsidP="003C3CE5">
      <w:pPr>
        <w:pStyle w:val="FootnoteText"/>
        <w:rPr>
          <w:rFonts w:ascii="Charter" w:hAnsi="Charter"/>
          <w:sz w:val="24"/>
          <w:szCs w:val="24"/>
        </w:rPr>
      </w:pPr>
      <w:r w:rsidRPr="00AD25D6">
        <w:rPr>
          <w:rStyle w:val="FootnoteReference"/>
          <w:rFonts w:ascii="Charter" w:eastAsiaTheme="majorEastAsia" w:hAnsi="Charter"/>
          <w:sz w:val="24"/>
          <w:szCs w:val="24"/>
        </w:rPr>
        <w:footnoteRef/>
      </w:r>
      <w:r w:rsidRPr="00AD25D6">
        <w:rPr>
          <w:rFonts w:ascii="Charter" w:hAnsi="Charter"/>
          <w:sz w:val="24"/>
          <w:szCs w:val="24"/>
        </w:rPr>
        <w:t xml:space="preserve"> </w:t>
      </w:r>
      <w:r w:rsidR="0012472A" w:rsidRPr="00AD25D6">
        <w:rPr>
          <w:rFonts w:ascii="Charter" w:hAnsi="Charter"/>
          <w:sz w:val="24"/>
          <w:szCs w:val="24"/>
        </w:rPr>
        <w:t xml:space="preserve">SRLA </w:t>
      </w:r>
      <w:r w:rsidRPr="00AD25D6">
        <w:rPr>
          <w:rFonts w:ascii="Charter" w:hAnsi="Charter"/>
          <w:sz w:val="24"/>
          <w:szCs w:val="24"/>
        </w:rPr>
        <w:t xml:space="preserve">ROD </w:t>
      </w:r>
      <w:r w:rsidR="0012472A" w:rsidRPr="00AD25D6">
        <w:rPr>
          <w:rFonts w:ascii="Charter" w:hAnsi="Charter"/>
          <w:sz w:val="24"/>
          <w:szCs w:val="24"/>
        </w:rPr>
        <w:t xml:space="preserve">at </w:t>
      </w:r>
      <w:r w:rsidRPr="00AD25D6">
        <w:rPr>
          <w:rFonts w:ascii="Charter" w:hAnsi="Charter"/>
          <w:sz w:val="24"/>
          <w:szCs w:val="24"/>
        </w:rPr>
        <w:t>6</w:t>
      </w:r>
      <w:r w:rsidR="0012472A" w:rsidRPr="00AD25D6">
        <w:rPr>
          <w:rFonts w:ascii="Charter" w:hAnsi="Charter"/>
          <w:sz w:val="24"/>
          <w:szCs w:val="24"/>
        </w:rPr>
        <w:t>.</w:t>
      </w:r>
    </w:p>
  </w:footnote>
  <w:footnote w:id="53">
    <w:p w14:paraId="225779BE" w14:textId="13F35C34" w:rsidR="003C3CE5" w:rsidRPr="00AD25D6" w:rsidRDefault="003C3CE5" w:rsidP="003C3CE5">
      <w:pPr>
        <w:pStyle w:val="FootnoteText"/>
        <w:rPr>
          <w:rFonts w:ascii="Charter" w:hAnsi="Charter"/>
          <w:sz w:val="24"/>
          <w:szCs w:val="24"/>
        </w:rPr>
      </w:pPr>
      <w:r w:rsidRPr="00AD25D6">
        <w:rPr>
          <w:rStyle w:val="FootnoteReference"/>
          <w:rFonts w:ascii="Charter" w:eastAsiaTheme="majorEastAsia" w:hAnsi="Charter"/>
          <w:sz w:val="24"/>
          <w:szCs w:val="24"/>
        </w:rPr>
        <w:footnoteRef/>
      </w:r>
      <w:r w:rsidRPr="00AD25D6">
        <w:rPr>
          <w:rFonts w:ascii="Charter" w:hAnsi="Charter"/>
          <w:sz w:val="24"/>
          <w:szCs w:val="24"/>
        </w:rPr>
        <w:t xml:space="preserve"> </w:t>
      </w:r>
      <w:r w:rsidR="0012472A" w:rsidRPr="00AD25D6">
        <w:rPr>
          <w:rFonts w:ascii="Charter" w:hAnsi="Charter"/>
          <w:i/>
          <w:iCs/>
          <w:sz w:val="24"/>
          <w:szCs w:val="24"/>
        </w:rPr>
        <w:t>Id.</w:t>
      </w:r>
      <w:r w:rsidR="0012472A" w:rsidRPr="00AD25D6">
        <w:rPr>
          <w:rFonts w:ascii="Charter" w:hAnsi="Charter"/>
          <w:sz w:val="24"/>
          <w:szCs w:val="24"/>
        </w:rPr>
        <w:t xml:space="preserve"> at 5</w:t>
      </w:r>
    </w:p>
  </w:footnote>
  <w:footnote w:id="54">
    <w:p w14:paraId="10E636EF" w14:textId="78C1998E" w:rsidR="003C3CE5" w:rsidRPr="00AD25D6" w:rsidRDefault="003C3CE5" w:rsidP="003C3CE5">
      <w:pPr>
        <w:pStyle w:val="FootnoteText"/>
        <w:rPr>
          <w:rFonts w:ascii="Charter" w:hAnsi="Charter"/>
          <w:sz w:val="24"/>
          <w:szCs w:val="24"/>
        </w:rPr>
      </w:pPr>
      <w:r w:rsidRPr="00AD25D6">
        <w:rPr>
          <w:rStyle w:val="FootnoteReference"/>
          <w:rFonts w:ascii="Charter" w:eastAsiaTheme="majorEastAsia" w:hAnsi="Charter"/>
          <w:sz w:val="24"/>
          <w:szCs w:val="24"/>
        </w:rPr>
        <w:footnoteRef/>
      </w:r>
      <w:r w:rsidRPr="00AD25D6">
        <w:rPr>
          <w:rFonts w:ascii="Charter" w:hAnsi="Charter"/>
          <w:sz w:val="24"/>
          <w:szCs w:val="24"/>
        </w:rPr>
        <w:t xml:space="preserve"> </w:t>
      </w:r>
      <w:r w:rsidR="0012472A" w:rsidRPr="00AD25D6">
        <w:rPr>
          <w:rFonts w:ascii="Charter" w:hAnsi="Charter"/>
          <w:sz w:val="24"/>
          <w:szCs w:val="24"/>
        </w:rPr>
        <w:t xml:space="preserve">SRLA </w:t>
      </w:r>
      <w:r w:rsidRPr="00AD25D6">
        <w:rPr>
          <w:rFonts w:ascii="Charter" w:hAnsi="Charter"/>
          <w:sz w:val="24"/>
          <w:szCs w:val="24"/>
        </w:rPr>
        <w:t>ROD Attachment 1-5</w:t>
      </w:r>
    </w:p>
  </w:footnote>
  <w:footnote w:id="55">
    <w:p w14:paraId="6AD6182F" w14:textId="2FBC241F" w:rsidR="003C3CE5" w:rsidRPr="00AD25D6" w:rsidRDefault="003C3CE5" w:rsidP="003C3CE5">
      <w:pPr>
        <w:pStyle w:val="FootnoteText"/>
        <w:rPr>
          <w:rFonts w:ascii="Charter" w:hAnsi="Charter"/>
          <w:sz w:val="24"/>
          <w:szCs w:val="24"/>
        </w:rPr>
      </w:pPr>
      <w:r w:rsidRPr="00AD25D6">
        <w:rPr>
          <w:rStyle w:val="FootnoteReference"/>
          <w:rFonts w:ascii="Charter" w:eastAsiaTheme="majorEastAsia" w:hAnsi="Charter"/>
          <w:sz w:val="24"/>
          <w:szCs w:val="24"/>
        </w:rPr>
        <w:footnoteRef/>
      </w:r>
      <w:r w:rsidRPr="00AD25D6">
        <w:rPr>
          <w:rFonts w:ascii="Charter" w:hAnsi="Charter"/>
          <w:sz w:val="24"/>
          <w:szCs w:val="24"/>
        </w:rPr>
        <w:t xml:space="preserve"> </w:t>
      </w:r>
      <w:r w:rsidR="0012472A" w:rsidRPr="00AD25D6">
        <w:rPr>
          <w:rFonts w:ascii="Charter" w:hAnsi="Charter"/>
          <w:sz w:val="24"/>
          <w:szCs w:val="24"/>
        </w:rPr>
        <w:t xml:space="preserve">SRLA </w:t>
      </w:r>
      <w:r w:rsidRPr="00AD25D6">
        <w:rPr>
          <w:rFonts w:ascii="Charter" w:hAnsi="Charter"/>
          <w:sz w:val="24"/>
          <w:szCs w:val="24"/>
        </w:rPr>
        <w:t xml:space="preserve">ROD </w:t>
      </w:r>
      <w:r w:rsidR="0012472A" w:rsidRPr="00AD25D6">
        <w:rPr>
          <w:rFonts w:ascii="Charter" w:hAnsi="Charter"/>
          <w:sz w:val="24"/>
          <w:szCs w:val="24"/>
        </w:rPr>
        <w:t xml:space="preserve">at </w:t>
      </w:r>
      <w:r w:rsidRPr="00AD25D6">
        <w:rPr>
          <w:rFonts w:ascii="Charter" w:hAnsi="Charter"/>
          <w:sz w:val="24"/>
          <w:szCs w:val="24"/>
        </w:rPr>
        <w:t>9</w:t>
      </w:r>
      <w:r w:rsidR="0012472A" w:rsidRPr="00AD25D6">
        <w:rPr>
          <w:rFonts w:ascii="Charter" w:hAnsi="Charter"/>
          <w:sz w:val="24"/>
          <w:szCs w:val="24"/>
        </w:rPr>
        <w:t>.</w:t>
      </w:r>
    </w:p>
  </w:footnote>
  <w:footnote w:id="56">
    <w:p w14:paraId="5B833D13" w14:textId="02A2EAFA" w:rsidR="00E34132" w:rsidRPr="00AD25D6" w:rsidRDefault="00E34132" w:rsidP="00E34132">
      <w:pPr>
        <w:pStyle w:val="FootnoteText"/>
        <w:rPr>
          <w:rFonts w:ascii="Charter" w:hAnsi="Charter"/>
          <w:sz w:val="24"/>
          <w:szCs w:val="24"/>
        </w:rPr>
      </w:pPr>
      <w:r w:rsidRPr="00AD25D6">
        <w:rPr>
          <w:rStyle w:val="FootnoteReference"/>
          <w:rFonts w:ascii="Charter" w:eastAsiaTheme="majorEastAsia" w:hAnsi="Charter"/>
          <w:sz w:val="24"/>
          <w:szCs w:val="24"/>
        </w:rPr>
        <w:footnoteRef/>
      </w:r>
      <w:r w:rsidRPr="00AD25D6">
        <w:rPr>
          <w:rFonts w:ascii="Charter" w:hAnsi="Charter"/>
          <w:sz w:val="24"/>
          <w:szCs w:val="24"/>
        </w:rPr>
        <w:t xml:space="preserve"> </w:t>
      </w:r>
      <w:r w:rsidR="0012472A" w:rsidRPr="00AD25D6">
        <w:rPr>
          <w:rFonts w:ascii="Charter" w:hAnsi="Charter"/>
          <w:sz w:val="24"/>
          <w:szCs w:val="24"/>
        </w:rPr>
        <w:t xml:space="preserve">GMUG </w:t>
      </w:r>
      <w:r w:rsidRPr="00AD25D6">
        <w:rPr>
          <w:rFonts w:ascii="Charter" w:hAnsi="Charter"/>
          <w:sz w:val="24"/>
          <w:szCs w:val="24"/>
        </w:rPr>
        <w:t>DEIS</w:t>
      </w:r>
      <w:r w:rsidR="0012472A" w:rsidRPr="00AD25D6">
        <w:rPr>
          <w:rFonts w:ascii="Charter" w:hAnsi="Charter"/>
          <w:sz w:val="24"/>
          <w:szCs w:val="24"/>
        </w:rPr>
        <w:t xml:space="preserve"> at</w:t>
      </w:r>
      <w:r w:rsidRPr="00AD25D6">
        <w:rPr>
          <w:rFonts w:ascii="Charter" w:hAnsi="Charter"/>
          <w:sz w:val="24"/>
          <w:szCs w:val="24"/>
        </w:rPr>
        <w:t xml:space="preserve"> 172</w:t>
      </w:r>
      <w:r w:rsidR="0012472A" w:rsidRPr="00AD25D6">
        <w:rPr>
          <w:rFonts w:ascii="Charter" w:hAnsi="Charter"/>
          <w:sz w:val="24"/>
          <w:szCs w:val="24"/>
        </w:rPr>
        <w:t>.</w:t>
      </w:r>
    </w:p>
  </w:footnote>
  <w:footnote w:id="57">
    <w:p w14:paraId="326AA71B" w14:textId="3E117E92" w:rsidR="003C3CE5" w:rsidRPr="0012472A" w:rsidRDefault="003C3CE5" w:rsidP="003C3CE5">
      <w:pPr>
        <w:pStyle w:val="FootnoteText"/>
      </w:pPr>
      <w:r w:rsidRPr="00AD25D6">
        <w:rPr>
          <w:rStyle w:val="FootnoteReference"/>
          <w:rFonts w:ascii="Charter" w:eastAsiaTheme="majorEastAsia" w:hAnsi="Charter"/>
          <w:sz w:val="24"/>
          <w:szCs w:val="24"/>
        </w:rPr>
        <w:footnoteRef/>
      </w:r>
      <w:r w:rsidRPr="00AD25D6">
        <w:rPr>
          <w:rFonts w:ascii="Charter" w:hAnsi="Charter"/>
          <w:sz w:val="24"/>
          <w:szCs w:val="24"/>
        </w:rPr>
        <w:t xml:space="preserve"> </w:t>
      </w:r>
      <w:r w:rsidR="0012472A" w:rsidRPr="00AD25D6">
        <w:rPr>
          <w:rFonts w:ascii="Charter" w:hAnsi="Charter"/>
          <w:i/>
          <w:iCs/>
          <w:sz w:val="24"/>
          <w:szCs w:val="24"/>
        </w:rPr>
        <w:t>Id</w:t>
      </w:r>
      <w:r w:rsidR="0012472A" w:rsidRPr="00AD25D6">
        <w:rPr>
          <w:rFonts w:ascii="Charter" w:hAnsi="Charter"/>
          <w:sz w:val="24"/>
          <w:szCs w:val="24"/>
        </w:rPr>
        <w:t>.</w:t>
      </w:r>
    </w:p>
  </w:footnote>
  <w:footnote w:id="58">
    <w:p w14:paraId="5B63A39A" w14:textId="6C5522F6" w:rsidR="003C3CE5" w:rsidRPr="00FF5403" w:rsidRDefault="003C3CE5" w:rsidP="003C3CE5">
      <w:pPr>
        <w:pStyle w:val="FootnoteText"/>
        <w:rPr>
          <w:rFonts w:ascii="Charter" w:hAnsi="Charter"/>
          <w:sz w:val="24"/>
          <w:szCs w:val="24"/>
        </w:rPr>
      </w:pPr>
      <w:r w:rsidRPr="00FF5403">
        <w:rPr>
          <w:rStyle w:val="FootnoteReference"/>
          <w:rFonts w:ascii="Charter" w:eastAsiaTheme="majorEastAsia" w:hAnsi="Charter"/>
          <w:sz w:val="24"/>
          <w:szCs w:val="24"/>
        </w:rPr>
        <w:footnoteRef/>
      </w:r>
      <w:r w:rsidRPr="00FF5403">
        <w:rPr>
          <w:rFonts w:ascii="Charter" w:hAnsi="Charter"/>
          <w:sz w:val="24"/>
          <w:szCs w:val="24"/>
        </w:rPr>
        <w:t xml:space="preserve"> </w:t>
      </w:r>
      <w:r w:rsidR="004C792A" w:rsidRPr="00FF5403">
        <w:rPr>
          <w:rFonts w:ascii="Charter" w:hAnsi="Charter"/>
          <w:sz w:val="24"/>
          <w:szCs w:val="24"/>
        </w:rPr>
        <w:t xml:space="preserve">GMUG </w:t>
      </w:r>
      <w:r w:rsidRPr="00FF5403">
        <w:rPr>
          <w:rFonts w:ascii="Charter" w:hAnsi="Charter"/>
          <w:sz w:val="24"/>
          <w:szCs w:val="24"/>
        </w:rPr>
        <w:t xml:space="preserve">DEIS </w:t>
      </w:r>
      <w:r w:rsidR="004C792A" w:rsidRPr="00FF5403">
        <w:rPr>
          <w:rFonts w:ascii="Charter" w:hAnsi="Charter"/>
          <w:sz w:val="24"/>
          <w:szCs w:val="24"/>
        </w:rPr>
        <w:t xml:space="preserve">at </w:t>
      </w:r>
      <w:r w:rsidRPr="00FF5403">
        <w:rPr>
          <w:rFonts w:ascii="Charter" w:hAnsi="Charter"/>
          <w:sz w:val="24"/>
          <w:szCs w:val="24"/>
        </w:rPr>
        <w:t>192, Table 89, note 1</w:t>
      </w:r>
      <w:r w:rsidR="00B947DE" w:rsidRPr="00FF5403">
        <w:rPr>
          <w:rFonts w:ascii="Charter" w:hAnsi="Charter"/>
          <w:sz w:val="24"/>
          <w:szCs w:val="24"/>
        </w:rPr>
        <w:t>. As a matter of clarity, the GMUG DEIS uses the term “highly selected use areas” without precisely explaining what qualifies as such. The DEIS says that VEG S7 “is designed to limit harvest in high quality lynx habitat within identified lynx highly selected use areas.”  The DEIS later states that “VEG S7 allows for salvage harvest to occur in up to 7 percent of high-quality habitat.”  Is “high quality lynx habitat” a subset of “lynx highly selected use area”? Are these two terms synonymous? If not, what is the distinction? In these same passages, the DEIS also refers to VEG S7 as limiting harvest (unqualified) in one area and refers to VEG S7 as applying specifically to salvage harvest elsewhere. The Forest Service should clarify its use of these terms to avoid confusion and ensure that its recommendations are being made with due precision.</w:t>
      </w:r>
    </w:p>
  </w:footnote>
  <w:footnote w:id="59">
    <w:p w14:paraId="188821A4" w14:textId="1BBCA519" w:rsidR="003C3CE5" w:rsidRPr="00FF5403" w:rsidRDefault="003C3CE5" w:rsidP="003C3CE5">
      <w:pPr>
        <w:pStyle w:val="FootnoteText"/>
        <w:rPr>
          <w:rFonts w:ascii="Charter" w:hAnsi="Charter"/>
          <w:sz w:val="24"/>
          <w:szCs w:val="24"/>
        </w:rPr>
      </w:pPr>
      <w:r w:rsidRPr="00FF5403">
        <w:rPr>
          <w:rStyle w:val="FootnoteReference"/>
          <w:rFonts w:ascii="Charter" w:eastAsiaTheme="majorEastAsia" w:hAnsi="Charter"/>
          <w:sz w:val="24"/>
          <w:szCs w:val="24"/>
        </w:rPr>
        <w:footnoteRef/>
      </w:r>
      <w:r w:rsidRPr="00FF5403">
        <w:rPr>
          <w:rFonts w:ascii="Charter" w:hAnsi="Charter"/>
          <w:sz w:val="24"/>
          <w:szCs w:val="24"/>
        </w:rPr>
        <w:t xml:space="preserve"> SBEADMR </w:t>
      </w:r>
      <w:r w:rsidR="004C792A" w:rsidRPr="00FF5403">
        <w:rPr>
          <w:rFonts w:ascii="Charter" w:hAnsi="Charter"/>
          <w:sz w:val="24"/>
          <w:szCs w:val="24"/>
        </w:rPr>
        <w:t>Report.</w:t>
      </w:r>
    </w:p>
  </w:footnote>
  <w:footnote w:id="60">
    <w:p w14:paraId="397F4A20" w14:textId="2F166BA7" w:rsidR="003C3CE5" w:rsidRPr="00FF5403" w:rsidRDefault="003C3CE5" w:rsidP="003C3CE5">
      <w:pPr>
        <w:pStyle w:val="FootnoteText"/>
        <w:rPr>
          <w:rFonts w:ascii="Charter" w:hAnsi="Charter"/>
          <w:sz w:val="24"/>
          <w:szCs w:val="24"/>
        </w:rPr>
      </w:pPr>
      <w:r w:rsidRPr="00FF5403">
        <w:rPr>
          <w:rStyle w:val="FootnoteReference"/>
          <w:rFonts w:ascii="Charter" w:eastAsiaTheme="majorEastAsia" w:hAnsi="Charter"/>
          <w:sz w:val="24"/>
          <w:szCs w:val="24"/>
        </w:rPr>
        <w:footnoteRef/>
      </w:r>
      <w:r w:rsidRPr="00FF5403">
        <w:rPr>
          <w:rFonts w:ascii="Charter" w:hAnsi="Charter"/>
          <w:sz w:val="24"/>
          <w:szCs w:val="24"/>
        </w:rPr>
        <w:t xml:space="preserve"> SBEADMR </w:t>
      </w:r>
      <w:r w:rsidR="004C792A" w:rsidRPr="00FF5403">
        <w:rPr>
          <w:rFonts w:ascii="Charter" w:hAnsi="Charter"/>
          <w:sz w:val="24"/>
          <w:szCs w:val="24"/>
        </w:rPr>
        <w:t>R</w:t>
      </w:r>
      <w:r w:rsidRPr="00FF5403">
        <w:rPr>
          <w:rFonts w:ascii="Charter" w:hAnsi="Charter"/>
          <w:sz w:val="24"/>
          <w:szCs w:val="24"/>
        </w:rPr>
        <w:t>eport</w:t>
      </w:r>
      <w:r w:rsidR="004C792A" w:rsidRPr="00FF5403">
        <w:rPr>
          <w:rFonts w:ascii="Charter" w:hAnsi="Charter"/>
          <w:sz w:val="24"/>
          <w:szCs w:val="24"/>
        </w:rPr>
        <w:t>.</w:t>
      </w:r>
    </w:p>
  </w:footnote>
  <w:footnote w:id="61">
    <w:p w14:paraId="3F7A9065" w14:textId="3CA7BAB7" w:rsidR="004C0DA0" w:rsidRPr="00FF5403" w:rsidRDefault="004C0DA0" w:rsidP="004C0DA0">
      <w:pPr>
        <w:pStyle w:val="FootnoteText"/>
        <w:rPr>
          <w:rFonts w:ascii="Charter" w:hAnsi="Charter"/>
          <w:sz w:val="24"/>
          <w:szCs w:val="24"/>
        </w:rPr>
      </w:pPr>
      <w:r w:rsidRPr="00FF5403">
        <w:rPr>
          <w:rStyle w:val="FootnoteReference"/>
          <w:rFonts w:ascii="Charter" w:eastAsiaTheme="majorEastAsia" w:hAnsi="Charter"/>
          <w:sz w:val="24"/>
          <w:szCs w:val="24"/>
        </w:rPr>
        <w:footnoteRef/>
      </w:r>
      <w:r w:rsidRPr="00FF5403">
        <w:rPr>
          <w:rFonts w:ascii="Charter" w:hAnsi="Charter"/>
          <w:sz w:val="24"/>
          <w:szCs w:val="24"/>
        </w:rPr>
        <w:t xml:space="preserve"> Thorn et al.</w:t>
      </w:r>
      <w:r w:rsidR="00323DBA" w:rsidRPr="00FF5403">
        <w:rPr>
          <w:rFonts w:ascii="Charter" w:hAnsi="Charter"/>
          <w:sz w:val="24"/>
          <w:szCs w:val="24"/>
        </w:rPr>
        <w:t xml:space="preserve">, </w:t>
      </w:r>
      <w:r w:rsidR="00323DBA" w:rsidRPr="00FF5403">
        <w:rPr>
          <w:rFonts w:ascii="Charter" w:hAnsi="Charter"/>
          <w:i/>
          <w:iCs/>
          <w:sz w:val="24"/>
          <w:szCs w:val="24"/>
        </w:rPr>
        <w:t>Impacts of salvage logging on biodiversity: A meta-analysis</w:t>
      </w:r>
      <w:r w:rsidR="00CC0028" w:rsidRPr="00FF5403">
        <w:rPr>
          <w:rFonts w:ascii="Charter" w:hAnsi="Charter"/>
          <w:sz w:val="24"/>
          <w:szCs w:val="24"/>
        </w:rPr>
        <w:t xml:space="preserve"> </w:t>
      </w:r>
      <w:r w:rsidR="00E256B5" w:rsidRPr="00FF5403">
        <w:rPr>
          <w:rFonts w:ascii="Charter" w:hAnsi="Charter"/>
          <w:sz w:val="24"/>
          <w:szCs w:val="24"/>
        </w:rPr>
        <w:t>(</w:t>
      </w:r>
      <w:r w:rsidR="00CC0028" w:rsidRPr="00FF5403">
        <w:rPr>
          <w:rFonts w:ascii="Charter" w:hAnsi="Charter"/>
          <w:sz w:val="24"/>
          <w:szCs w:val="24"/>
        </w:rPr>
        <w:t>201</w:t>
      </w:r>
      <w:r w:rsidR="00244B87" w:rsidRPr="00FF5403">
        <w:rPr>
          <w:rFonts w:ascii="Charter" w:hAnsi="Charter"/>
          <w:sz w:val="24"/>
          <w:szCs w:val="24"/>
        </w:rPr>
        <w:t>8</w:t>
      </w:r>
      <w:r w:rsidR="00E256B5" w:rsidRPr="00FF5403">
        <w:rPr>
          <w:rFonts w:ascii="Charter" w:hAnsi="Charter"/>
          <w:sz w:val="24"/>
          <w:szCs w:val="24"/>
        </w:rPr>
        <w:t>,</w:t>
      </w:r>
      <w:r w:rsidR="00A15A4D" w:rsidRPr="00FF5403">
        <w:rPr>
          <w:rFonts w:ascii="Charter" w:hAnsi="Charter"/>
          <w:sz w:val="24"/>
          <w:szCs w:val="24"/>
        </w:rPr>
        <w:t xml:space="preserve"> Journal of Applied Ecology,</w:t>
      </w:r>
      <w:r w:rsidR="007B5BE9" w:rsidRPr="00FF5403">
        <w:rPr>
          <w:rFonts w:ascii="Charter" w:hAnsi="Charter"/>
          <w:sz w:val="24"/>
          <w:szCs w:val="24"/>
        </w:rPr>
        <w:t xml:space="preserve"> vol. 55</w:t>
      </w:r>
      <w:r w:rsidR="00244B87" w:rsidRPr="00FF5403">
        <w:rPr>
          <w:rFonts w:ascii="Charter" w:hAnsi="Charter"/>
          <w:sz w:val="24"/>
          <w:szCs w:val="24"/>
        </w:rPr>
        <w:t>) at</w:t>
      </w:r>
      <w:r w:rsidR="00A15A4D" w:rsidRPr="00FF5403">
        <w:rPr>
          <w:rFonts w:ascii="Charter" w:hAnsi="Charter"/>
          <w:sz w:val="24"/>
          <w:szCs w:val="24"/>
        </w:rPr>
        <w:t xml:space="preserve"> 285</w:t>
      </w:r>
      <w:r w:rsidR="00244B87" w:rsidRPr="00FF5403">
        <w:rPr>
          <w:rFonts w:ascii="Charter" w:hAnsi="Charter"/>
          <w:sz w:val="24"/>
          <w:szCs w:val="24"/>
        </w:rPr>
        <w:t>.</w:t>
      </w:r>
    </w:p>
  </w:footnote>
  <w:footnote w:id="62">
    <w:p w14:paraId="55E7E887" w14:textId="6EEA68E5" w:rsidR="005A72C4" w:rsidRDefault="005A72C4">
      <w:pPr>
        <w:pStyle w:val="FootnoteText"/>
      </w:pPr>
      <w:r w:rsidRPr="00FF5403">
        <w:rPr>
          <w:rStyle w:val="FootnoteReference"/>
          <w:rFonts w:ascii="Charter" w:hAnsi="Charter"/>
          <w:sz w:val="24"/>
          <w:szCs w:val="24"/>
        </w:rPr>
        <w:footnoteRef/>
      </w:r>
      <w:r w:rsidRPr="00FF5403">
        <w:rPr>
          <w:rFonts w:ascii="Charter" w:hAnsi="Charter"/>
          <w:sz w:val="24"/>
          <w:szCs w:val="24"/>
        </w:rPr>
        <w:t xml:space="preserve"> </w:t>
      </w:r>
      <w:r w:rsidR="00244B87" w:rsidRPr="00FF5403">
        <w:rPr>
          <w:rFonts w:ascii="Charter" w:hAnsi="Charter"/>
          <w:i/>
          <w:iCs/>
          <w:sz w:val="24"/>
          <w:szCs w:val="24"/>
        </w:rPr>
        <w:t>Id.</w:t>
      </w:r>
    </w:p>
  </w:footnote>
  <w:footnote w:id="63">
    <w:p w14:paraId="24D3C351" w14:textId="14A0FDAE" w:rsidR="00E7687E" w:rsidRPr="00FF5403" w:rsidRDefault="00E7687E" w:rsidP="00E7687E">
      <w:pPr>
        <w:pStyle w:val="FootnoteText"/>
        <w:rPr>
          <w:rFonts w:ascii="Charter" w:hAnsi="Charter"/>
          <w:sz w:val="24"/>
          <w:szCs w:val="24"/>
        </w:rPr>
      </w:pPr>
      <w:r w:rsidRPr="00FF5403">
        <w:rPr>
          <w:rStyle w:val="FootnoteReference"/>
          <w:rFonts w:ascii="Charter" w:hAnsi="Charter"/>
          <w:sz w:val="24"/>
          <w:szCs w:val="24"/>
        </w:rPr>
        <w:footnoteRef/>
      </w:r>
      <w:r w:rsidRPr="00FF5403">
        <w:rPr>
          <w:rFonts w:ascii="Charter" w:hAnsi="Charter"/>
          <w:sz w:val="24"/>
          <w:szCs w:val="24"/>
        </w:rPr>
        <w:t xml:space="preserve"> </w:t>
      </w:r>
      <w:r w:rsidR="00244B87" w:rsidRPr="00FF5403">
        <w:rPr>
          <w:rFonts w:ascii="Charter" w:hAnsi="Charter"/>
          <w:sz w:val="24"/>
          <w:szCs w:val="24"/>
        </w:rPr>
        <w:t xml:space="preserve">GMUG </w:t>
      </w:r>
      <w:r w:rsidRPr="00FF5403">
        <w:rPr>
          <w:rFonts w:ascii="Charter" w:hAnsi="Charter"/>
          <w:sz w:val="24"/>
          <w:szCs w:val="24"/>
        </w:rPr>
        <w:t xml:space="preserve">DEIS </w:t>
      </w:r>
      <w:r w:rsidR="00244B87" w:rsidRPr="00FF5403">
        <w:rPr>
          <w:rFonts w:ascii="Charter" w:hAnsi="Charter"/>
          <w:sz w:val="24"/>
          <w:szCs w:val="24"/>
        </w:rPr>
        <w:t xml:space="preserve">at </w:t>
      </w:r>
      <w:r w:rsidRPr="00FF5403">
        <w:rPr>
          <w:rFonts w:ascii="Charter" w:hAnsi="Charter"/>
          <w:sz w:val="24"/>
          <w:szCs w:val="24"/>
        </w:rPr>
        <w:t>164</w:t>
      </w:r>
      <w:r w:rsidR="00244B87" w:rsidRPr="00FF5403">
        <w:rPr>
          <w:rFonts w:ascii="Charter" w:hAnsi="Charter"/>
          <w:sz w:val="24"/>
          <w:szCs w:val="24"/>
        </w:rPr>
        <w:t>.</w:t>
      </w:r>
    </w:p>
  </w:footnote>
  <w:footnote w:id="64">
    <w:p w14:paraId="634B7448" w14:textId="7A48C2FC" w:rsidR="003C3CE5" w:rsidRPr="00FF5403" w:rsidRDefault="003C3CE5" w:rsidP="003C3CE5">
      <w:pPr>
        <w:pStyle w:val="FootnoteText"/>
        <w:rPr>
          <w:rFonts w:ascii="Charter" w:hAnsi="Charter"/>
          <w:sz w:val="24"/>
          <w:szCs w:val="24"/>
        </w:rPr>
      </w:pPr>
      <w:r w:rsidRPr="00FF5403">
        <w:rPr>
          <w:rStyle w:val="FootnoteReference"/>
          <w:rFonts w:ascii="Charter" w:eastAsiaTheme="majorEastAsia" w:hAnsi="Charter"/>
          <w:sz w:val="24"/>
          <w:szCs w:val="24"/>
        </w:rPr>
        <w:footnoteRef/>
      </w:r>
      <w:r w:rsidRPr="00FF5403">
        <w:rPr>
          <w:rFonts w:ascii="Charter" w:hAnsi="Charter"/>
          <w:sz w:val="24"/>
          <w:szCs w:val="24"/>
        </w:rPr>
        <w:t xml:space="preserve"> </w:t>
      </w:r>
      <w:r w:rsidR="00244B87" w:rsidRPr="00FF5403">
        <w:rPr>
          <w:rFonts w:ascii="Charter" w:hAnsi="Charter"/>
          <w:i/>
          <w:iCs/>
          <w:sz w:val="24"/>
          <w:szCs w:val="24"/>
        </w:rPr>
        <w:t xml:space="preserve">Id. </w:t>
      </w:r>
      <w:r w:rsidR="00244B87" w:rsidRPr="00FF5403">
        <w:rPr>
          <w:rFonts w:ascii="Charter" w:hAnsi="Charter"/>
          <w:sz w:val="24"/>
          <w:szCs w:val="24"/>
        </w:rPr>
        <w:t>at</w:t>
      </w:r>
      <w:r w:rsidRPr="00FF5403">
        <w:rPr>
          <w:rFonts w:ascii="Charter" w:hAnsi="Charter"/>
          <w:sz w:val="24"/>
          <w:szCs w:val="24"/>
        </w:rPr>
        <w:t xml:space="preserve"> 392</w:t>
      </w:r>
      <w:r w:rsidR="00244B87" w:rsidRPr="00FF5403">
        <w:rPr>
          <w:rFonts w:ascii="Charter" w:hAnsi="Charter"/>
          <w:sz w:val="24"/>
          <w:szCs w:val="24"/>
        </w:rPr>
        <w:t>.</w:t>
      </w:r>
    </w:p>
  </w:footnote>
  <w:footnote w:id="65">
    <w:p w14:paraId="60B8D302" w14:textId="6D909D31" w:rsidR="003C3CE5" w:rsidRPr="00AD25D6" w:rsidRDefault="003C3CE5" w:rsidP="003C3CE5">
      <w:pPr>
        <w:pStyle w:val="FootnoteText"/>
        <w:rPr>
          <w:sz w:val="24"/>
          <w:szCs w:val="24"/>
        </w:rPr>
      </w:pPr>
      <w:r w:rsidRPr="00FF5403">
        <w:rPr>
          <w:rStyle w:val="FootnoteReference"/>
          <w:rFonts w:ascii="Charter" w:eastAsiaTheme="majorEastAsia" w:hAnsi="Charter"/>
          <w:sz w:val="24"/>
          <w:szCs w:val="24"/>
        </w:rPr>
        <w:footnoteRef/>
      </w:r>
      <w:r w:rsidRPr="00FF5403">
        <w:rPr>
          <w:rFonts w:ascii="Charter" w:hAnsi="Charter"/>
          <w:sz w:val="24"/>
          <w:szCs w:val="24"/>
        </w:rPr>
        <w:t xml:space="preserve"> </w:t>
      </w:r>
      <w:r w:rsidR="00244B87" w:rsidRPr="00FF5403">
        <w:rPr>
          <w:rFonts w:ascii="Charter" w:hAnsi="Charter"/>
          <w:i/>
          <w:iCs/>
          <w:sz w:val="24"/>
          <w:szCs w:val="24"/>
        </w:rPr>
        <w:t xml:space="preserve">Id. </w:t>
      </w:r>
      <w:r w:rsidR="00244B87" w:rsidRPr="00FF5403">
        <w:rPr>
          <w:rFonts w:ascii="Charter" w:hAnsi="Charter"/>
          <w:sz w:val="24"/>
          <w:szCs w:val="24"/>
        </w:rPr>
        <w:t>at</w:t>
      </w:r>
      <w:r w:rsidRPr="00FF5403">
        <w:rPr>
          <w:rFonts w:ascii="Charter" w:hAnsi="Charter"/>
          <w:sz w:val="24"/>
          <w:szCs w:val="24"/>
        </w:rPr>
        <w:t xml:space="preserve"> 392-93</w:t>
      </w:r>
      <w:r w:rsidR="00244B87" w:rsidRPr="00FF5403">
        <w:rPr>
          <w:rFonts w:ascii="Charter" w:hAnsi="Charter"/>
          <w:sz w:val="24"/>
          <w:szCs w:val="24"/>
        </w:rPr>
        <w:t>.</w:t>
      </w:r>
    </w:p>
  </w:footnote>
  <w:footnote w:id="66">
    <w:p w14:paraId="2D83E04D" w14:textId="6464331A" w:rsidR="003C3CE5" w:rsidRPr="00FF5403" w:rsidRDefault="003C3CE5" w:rsidP="003C3CE5">
      <w:pPr>
        <w:pStyle w:val="FootnoteText"/>
        <w:rPr>
          <w:rFonts w:ascii="Charter" w:hAnsi="Charter"/>
        </w:rPr>
      </w:pPr>
      <w:r w:rsidRPr="00FF5403">
        <w:rPr>
          <w:rStyle w:val="FootnoteReference"/>
          <w:rFonts w:ascii="Charter" w:eastAsiaTheme="majorEastAsia" w:hAnsi="Charter"/>
          <w:sz w:val="24"/>
          <w:szCs w:val="24"/>
        </w:rPr>
        <w:footnoteRef/>
      </w:r>
      <w:r w:rsidRPr="00FF5403">
        <w:rPr>
          <w:rFonts w:ascii="Charter" w:hAnsi="Charter"/>
          <w:sz w:val="24"/>
          <w:szCs w:val="24"/>
        </w:rPr>
        <w:t xml:space="preserve"> </w:t>
      </w:r>
      <w:r w:rsidR="00244B87" w:rsidRPr="00FF5403">
        <w:rPr>
          <w:rFonts w:ascii="Charter" w:hAnsi="Charter"/>
          <w:i/>
          <w:iCs/>
          <w:sz w:val="24"/>
          <w:szCs w:val="24"/>
        </w:rPr>
        <w:t>Id</w:t>
      </w:r>
      <w:r w:rsidR="00244B87" w:rsidRPr="00FF5403">
        <w:rPr>
          <w:rFonts w:ascii="Charter" w:hAnsi="Charter"/>
          <w:sz w:val="24"/>
          <w:szCs w:val="24"/>
        </w:rPr>
        <w:t>. at</w:t>
      </w:r>
      <w:r w:rsidRPr="00FF5403">
        <w:rPr>
          <w:rFonts w:ascii="Charter" w:hAnsi="Charter"/>
          <w:sz w:val="24"/>
          <w:szCs w:val="24"/>
        </w:rPr>
        <w:t xml:space="preserve"> 171</w:t>
      </w:r>
      <w:r w:rsidR="00244B87" w:rsidRPr="00FF5403">
        <w:rPr>
          <w:rFonts w:ascii="Charter" w:hAnsi="Charter"/>
          <w:sz w:val="24"/>
          <w:szCs w:val="24"/>
        </w:rPr>
        <w:t>.</w:t>
      </w:r>
    </w:p>
  </w:footnote>
  <w:footnote w:id="67">
    <w:p w14:paraId="76024976" w14:textId="15B26110" w:rsidR="009830DE" w:rsidRPr="00FF5403" w:rsidRDefault="009830DE" w:rsidP="009830DE">
      <w:pPr>
        <w:pStyle w:val="FootnoteText"/>
        <w:rPr>
          <w:rFonts w:ascii="Charter" w:hAnsi="Charter"/>
          <w:sz w:val="24"/>
          <w:szCs w:val="24"/>
        </w:rPr>
      </w:pPr>
      <w:r w:rsidRPr="00FF5403">
        <w:rPr>
          <w:rStyle w:val="FootnoteReference"/>
          <w:rFonts w:ascii="Charter" w:eastAsiaTheme="majorEastAsia" w:hAnsi="Charter"/>
          <w:sz w:val="24"/>
          <w:szCs w:val="24"/>
        </w:rPr>
        <w:footnoteRef/>
      </w:r>
      <w:r w:rsidRPr="00FF5403">
        <w:rPr>
          <w:rFonts w:ascii="Charter" w:hAnsi="Charter"/>
          <w:sz w:val="24"/>
          <w:szCs w:val="24"/>
        </w:rPr>
        <w:t xml:space="preserve"> </w:t>
      </w:r>
      <w:r w:rsidR="00244B87" w:rsidRPr="00FF5403">
        <w:rPr>
          <w:rFonts w:ascii="Charter" w:hAnsi="Charter"/>
          <w:sz w:val="24"/>
          <w:szCs w:val="24"/>
        </w:rPr>
        <w:t xml:space="preserve">SRLA </w:t>
      </w:r>
      <w:r w:rsidRPr="00FF5403">
        <w:rPr>
          <w:rFonts w:ascii="Charter" w:hAnsi="Charter"/>
          <w:sz w:val="24"/>
          <w:szCs w:val="24"/>
        </w:rPr>
        <w:t xml:space="preserve">ROD </w:t>
      </w:r>
      <w:r w:rsidR="00244B87" w:rsidRPr="00FF5403">
        <w:rPr>
          <w:rFonts w:ascii="Charter" w:hAnsi="Charter"/>
          <w:sz w:val="24"/>
          <w:szCs w:val="24"/>
        </w:rPr>
        <w:t xml:space="preserve">at </w:t>
      </w:r>
      <w:r w:rsidRPr="00FF5403">
        <w:rPr>
          <w:rFonts w:ascii="Charter" w:hAnsi="Charter"/>
          <w:sz w:val="24"/>
          <w:szCs w:val="24"/>
        </w:rPr>
        <w:t>8</w:t>
      </w:r>
      <w:r w:rsidR="00244B87" w:rsidRPr="00FF5403">
        <w:rPr>
          <w:rFonts w:ascii="Charter" w:hAnsi="Charter"/>
          <w:sz w:val="24"/>
          <w:szCs w:val="24"/>
        </w:rPr>
        <w:t>.</w:t>
      </w:r>
    </w:p>
  </w:footnote>
  <w:footnote w:id="68">
    <w:p w14:paraId="50C923E2" w14:textId="154A95D3" w:rsidR="009830DE" w:rsidRPr="00FF5403" w:rsidRDefault="009830DE" w:rsidP="009830DE">
      <w:pPr>
        <w:pStyle w:val="FootnoteText"/>
        <w:rPr>
          <w:rFonts w:ascii="Charter" w:hAnsi="Charter"/>
          <w:sz w:val="24"/>
          <w:szCs w:val="24"/>
        </w:rPr>
      </w:pPr>
      <w:r w:rsidRPr="00FF5403">
        <w:rPr>
          <w:rStyle w:val="FootnoteReference"/>
          <w:rFonts w:ascii="Charter" w:eastAsiaTheme="majorEastAsia" w:hAnsi="Charter"/>
          <w:sz w:val="24"/>
          <w:szCs w:val="24"/>
        </w:rPr>
        <w:footnoteRef/>
      </w:r>
      <w:r w:rsidRPr="00FF5403">
        <w:rPr>
          <w:rFonts w:ascii="Charter" w:hAnsi="Charter"/>
          <w:sz w:val="24"/>
          <w:szCs w:val="24"/>
        </w:rPr>
        <w:t xml:space="preserve"> </w:t>
      </w:r>
      <w:r w:rsidR="00244B87" w:rsidRPr="00FF5403">
        <w:rPr>
          <w:rFonts w:ascii="Charter" w:hAnsi="Charter"/>
          <w:i/>
          <w:iCs/>
          <w:sz w:val="24"/>
          <w:szCs w:val="24"/>
        </w:rPr>
        <w:t>Id.</w:t>
      </w:r>
      <w:r w:rsidR="00244B87" w:rsidRPr="00FF5403">
        <w:rPr>
          <w:rFonts w:ascii="Charter" w:hAnsi="Charter"/>
          <w:sz w:val="24"/>
          <w:szCs w:val="24"/>
        </w:rPr>
        <w:t>at 9.</w:t>
      </w:r>
    </w:p>
  </w:footnote>
  <w:footnote w:id="69">
    <w:p w14:paraId="4F728438" w14:textId="56835544" w:rsidR="009830DE" w:rsidRDefault="009830DE" w:rsidP="009830DE">
      <w:pPr>
        <w:pStyle w:val="FootnoteText"/>
      </w:pPr>
      <w:r w:rsidRPr="00FF5403">
        <w:rPr>
          <w:rStyle w:val="FootnoteReference"/>
          <w:rFonts w:ascii="Charter" w:eastAsiaTheme="majorEastAsia" w:hAnsi="Charter"/>
          <w:sz w:val="24"/>
          <w:szCs w:val="24"/>
        </w:rPr>
        <w:footnoteRef/>
      </w:r>
      <w:r w:rsidRPr="00FF5403">
        <w:rPr>
          <w:rFonts w:ascii="Charter" w:hAnsi="Charter"/>
          <w:sz w:val="24"/>
          <w:szCs w:val="24"/>
        </w:rPr>
        <w:t xml:space="preserve"> </w:t>
      </w:r>
      <w:r w:rsidR="00244B87" w:rsidRPr="00FF5403">
        <w:rPr>
          <w:rFonts w:ascii="Charter" w:hAnsi="Charter"/>
          <w:sz w:val="24"/>
          <w:szCs w:val="24"/>
        </w:rPr>
        <w:t>GMUG DEIS at</w:t>
      </w:r>
      <w:r w:rsidRPr="00FF5403">
        <w:rPr>
          <w:rFonts w:ascii="Charter" w:hAnsi="Charter"/>
          <w:sz w:val="24"/>
          <w:szCs w:val="24"/>
        </w:rPr>
        <w:t xml:space="preserve"> </w:t>
      </w:r>
      <w:r w:rsidR="00244B87" w:rsidRPr="00FF5403">
        <w:rPr>
          <w:rFonts w:ascii="Charter" w:hAnsi="Charter"/>
          <w:sz w:val="24"/>
          <w:szCs w:val="24"/>
        </w:rPr>
        <w:t>392.</w:t>
      </w:r>
    </w:p>
  </w:footnote>
  <w:footnote w:id="70">
    <w:p w14:paraId="7747407E" w14:textId="18612B89" w:rsidR="009830DE" w:rsidRPr="00FF5403" w:rsidRDefault="009830DE" w:rsidP="009830DE">
      <w:pPr>
        <w:pStyle w:val="FootnoteText"/>
        <w:rPr>
          <w:rFonts w:ascii="Charter" w:hAnsi="Charter"/>
          <w:sz w:val="24"/>
          <w:szCs w:val="24"/>
        </w:rPr>
      </w:pPr>
      <w:r w:rsidRPr="00FF5403">
        <w:rPr>
          <w:rStyle w:val="FootnoteReference"/>
          <w:rFonts w:ascii="Charter" w:eastAsiaTheme="majorEastAsia" w:hAnsi="Charter"/>
          <w:sz w:val="24"/>
          <w:szCs w:val="24"/>
        </w:rPr>
        <w:footnoteRef/>
      </w:r>
      <w:r w:rsidRPr="00FF5403">
        <w:rPr>
          <w:rFonts w:ascii="Charter" w:hAnsi="Charter"/>
          <w:sz w:val="24"/>
          <w:szCs w:val="24"/>
        </w:rPr>
        <w:t xml:space="preserve"> </w:t>
      </w:r>
      <w:r w:rsidR="00244B87" w:rsidRPr="00FF5403">
        <w:rPr>
          <w:rFonts w:ascii="Charter" w:hAnsi="Charter"/>
          <w:i/>
          <w:iCs/>
          <w:sz w:val="24"/>
          <w:szCs w:val="24"/>
        </w:rPr>
        <w:t>Id.</w:t>
      </w:r>
      <w:r w:rsidR="00244B87" w:rsidRPr="00FF5403">
        <w:rPr>
          <w:rFonts w:ascii="Charter" w:hAnsi="Charter"/>
          <w:sz w:val="24"/>
          <w:szCs w:val="24"/>
        </w:rPr>
        <w:t xml:space="preserve"> at</w:t>
      </w:r>
      <w:r w:rsidRPr="00FF5403">
        <w:rPr>
          <w:rFonts w:ascii="Charter" w:hAnsi="Charter"/>
          <w:sz w:val="24"/>
          <w:szCs w:val="24"/>
        </w:rPr>
        <w:t xml:space="preserve"> 392</w:t>
      </w:r>
      <w:r w:rsidR="00244B87" w:rsidRPr="00FF5403">
        <w:rPr>
          <w:rFonts w:ascii="Charter" w:hAnsi="Charter"/>
          <w:sz w:val="24"/>
          <w:szCs w:val="24"/>
        </w:rPr>
        <w:t>.</w:t>
      </w:r>
    </w:p>
  </w:footnote>
  <w:footnote w:id="71">
    <w:p w14:paraId="03820E0D" w14:textId="20F3D5E0" w:rsidR="009830DE" w:rsidRPr="00FF5403" w:rsidRDefault="009830DE" w:rsidP="009830DE">
      <w:pPr>
        <w:pStyle w:val="FootnoteText"/>
        <w:rPr>
          <w:rFonts w:ascii="Charter" w:hAnsi="Charter"/>
          <w:sz w:val="24"/>
          <w:szCs w:val="24"/>
        </w:rPr>
      </w:pPr>
      <w:r w:rsidRPr="00FF5403">
        <w:rPr>
          <w:rStyle w:val="FootnoteReference"/>
          <w:rFonts w:ascii="Charter" w:eastAsiaTheme="majorEastAsia" w:hAnsi="Charter"/>
          <w:sz w:val="24"/>
          <w:szCs w:val="24"/>
        </w:rPr>
        <w:footnoteRef/>
      </w:r>
      <w:r w:rsidRPr="00FF5403">
        <w:rPr>
          <w:rFonts w:ascii="Charter" w:hAnsi="Charter"/>
          <w:sz w:val="24"/>
          <w:szCs w:val="24"/>
        </w:rPr>
        <w:t xml:space="preserve"> </w:t>
      </w:r>
      <w:r w:rsidR="00244B87" w:rsidRPr="00FF5403">
        <w:rPr>
          <w:rFonts w:ascii="Charter" w:hAnsi="Charter"/>
          <w:i/>
          <w:iCs/>
          <w:sz w:val="24"/>
          <w:szCs w:val="24"/>
        </w:rPr>
        <w:t>Id.</w:t>
      </w:r>
      <w:r w:rsidR="00244B87" w:rsidRPr="00FF5403">
        <w:rPr>
          <w:rFonts w:ascii="Charter" w:hAnsi="Charter"/>
          <w:sz w:val="24"/>
          <w:szCs w:val="24"/>
        </w:rPr>
        <w:t xml:space="preserve"> at </w:t>
      </w:r>
      <w:r w:rsidRPr="00FF5403">
        <w:rPr>
          <w:rFonts w:ascii="Charter" w:hAnsi="Charter"/>
          <w:sz w:val="24"/>
          <w:szCs w:val="24"/>
        </w:rPr>
        <w:t>172</w:t>
      </w:r>
    </w:p>
  </w:footnote>
  <w:footnote w:id="72">
    <w:p w14:paraId="2F61A7F8" w14:textId="06D72F36" w:rsidR="009830DE" w:rsidRPr="00FF5403" w:rsidRDefault="009830DE" w:rsidP="009830DE">
      <w:pPr>
        <w:pStyle w:val="FootnoteText"/>
        <w:rPr>
          <w:rFonts w:ascii="Charter" w:hAnsi="Charter"/>
          <w:sz w:val="24"/>
          <w:szCs w:val="24"/>
        </w:rPr>
      </w:pPr>
      <w:r w:rsidRPr="00FF5403">
        <w:rPr>
          <w:rStyle w:val="FootnoteReference"/>
          <w:rFonts w:ascii="Charter" w:eastAsiaTheme="majorEastAsia" w:hAnsi="Charter"/>
          <w:sz w:val="24"/>
          <w:szCs w:val="24"/>
        </w:rPr>
        <w:footnoteRef/>
      </w:r>
      <w:r w:rsidRPr="00FF5403">
        <w:rPr>
          <w:rFonts w:ascii="Charter" w:hAnsi="Charter"/>
          <w:sz w:val="24"/>
          <w:szCs w:val="24"/>
        </w:rPr>
        <w:t xml:space="preserve"> </w:t>
      </w:r>
      <w:r w:rsidR="00244B87" w:rsidRPr="00FF5403">
        <w:rPr>
          <w:rFonts w:ascii="Charter" w:hAnsi="Charter"/>
          <w:i/>
          <w:iCs/>
          <w:sz w:val="24"/>
          <w:szCs w:val="24"/>
        </w:rPr>
        <w:t>Id.</w:t>
      </w:r>
      <w:r w:rsidR="00244B87" w:rsidRPr="00FF5403">
        <w:rPr>
          <w:rFonts w:ascii="Charter" w:hAnsi="Charter"/>
          <w:sz w:val="24"/>
          <w:szCs w:val="24"/>
        </w:rPr>
        <w:t xml:space="preserve"> at </w:t>
      </w:r>
      <w:r w:rsidR="00084893" w:rsidRPr="00FF5403">
        <w:rPr>
          <w:rFonts w:ascii="Charter" w:hAnsi="Charter"/>
          <w:sz w:val="24"/>
          <w:szCs w:val="24"/>
        </w:rPr>
        <w:t xml:space="preserve">164, </w:t>
      </w:r>
      <w:r w:rsidRPr="00FF5403">
        <w:rPr>
          <w:rFonts w:ascii="Charter" w:hAnsi="Charter"/>
          <w:sz w:val="24"/>
          <w:szCs w:val="24"/>
        </w:rPr>
        <w:t xml:space="preserve">Table </w:t>
      </w:r>
      <w:r w:rsidR="00084893" w:rsidRPr="00FF5403">
        <w:rPr>
          <w:rFonts w:ascii="Charter" w:hAnsi="Charter"/>
          <w:sz w:val="24"/>
          <w:szCs w:val="24"/>
        </w:rPr>
        <w:t>89.</w:t>
      </w:r>
    </w:p>
  </w:footnote>
  <w:footnote w:id="73">
    <w:p w14:paraId="5075A51E" w14:textId="4C39AC01" w:rsidR="009830DE" w:rsidRPr="00FF5403" w:rsidRDefault="009830DE" w:rsidP="009830DE">
      <w:pPr>
        <w:pStyle w:val="FootnoteText"/>
        <w:rPr>
          <w:rFonts w:ascii="Charter" w:hAnsi="Charter"/>
          <w:sz w:val="24"/>
          <w:szCs w:val="24"/>
        </w:rPr>
      </w:pPr>
      <w:r w:rsidRPr="00FF5403">
        <w:rPr>
          <w:rStyle w:val="FootnoteReference"/>
          <w:rFonts w:ascii="Charter" w:eastAsiaTheme="majorEastAsia" w:hAnsi="Charter"/>
          <w:sz w:val="24"/>
          <w:szCs w:val="24"/>
        </w:rPr>
        <w:footnoteRef/>
      </w:r>
      <w:r w:rsidRPr="00FF5403">
        <w:rPr>
          <w:rFonts w:ascii="Charter" w:hAnsi="Charter"/>
          <w:sz w:val="24"/>
          <w:szCs w:val="24"/>
        </w:rPr>
        <w:t xml:space="preserve"> </w:t>
      </w:r>
      <w:r w:rsidR="00084893" w:rsidRPr="00FF5403">
        <w:rPr>
          <w:rFonts w:ascii="Charter" w:hAnsi="Charter"/>
          <w:i/>
          <w:iCs/>
          <w:sz w:val="24"/>
          <w:szCs w:val="24"/>
        </w:rPr>
        <w:t>Id.</w:t>
      </w:r>
      <w:r w:rsidR="00084893" w:rsidRPr="00FF5403">
        <w:rPr>
          <w:rFonts w:ascii="Charter" w:hAnsi="Charter"/>
          <w:sz w:val="24"/>
          <w:szCs w:val="24"/>
        </w:rPr>
        <w:t xml:space="preserve"> at </w:t>
      </w:r>
      <w:r w:rsidRPr="00FF5403">
        <w:rPr>
          <w:rFonts w:ascii="Charter" w:hAnsi="Charter"/>
          <w:sz w:val="24"/>
          <w:szCs w:val="24"/>
        </w:rPr>
        <w:t>172</w:t>
      </w:r>
      <w:r w:rsidR="00084893" w:rsidRPr="00FF5403">
        <w:rPr>
          <w:rFonts w:ascii="Charter" w:hAnsi="Charter"/>
          <w:sz w:val="24"/>
          <w:szCs w:val="24"/>
        </w:rPr>
        <w:t>.</w:t>
      </w:r>
    </w:p>
  </w:footnote>
  <w:footnote w:id="74">
    <w:p w14:paraId="2275A84F" w14:textId="734DE69B" w:rsidR="00E90007" w:rsidRPr="00FF5403" w:rsidRDefault="00E90007" w:rsidP="00E90007">
      <w:pPr>
        <w:pStyle w:val="FootnoteText"/>
        <w:rPr>
          <w:rFonts w:ascii="Charter" w:hAnsi="Charter"/>
          <w:sz w:val="24"/>
          <w:szCs w:val="24"/>
        </w:rPr>
      </w:pPr>
      <w:r w:rsidRPr="00FF5403">
        <w:rPr>
          <w:rStyle w:val="FootnoteReference"/>
          <w:rFonts w:ascii="Charter" w:hAnsi="Charter"/>
          <w:sz w:val="24"/>
          <w:szCs w:val="24"/>
        </w:rPr>
        <w:footnoteRef/>
      </w:r>
      <w:r w:rsidRPr="00FF5403">
        <w:rPr>
          <w:rFonts w:ascii="Charter" w:hAnsi="Charter"/>
          <w:sz w:val="24"/>
          <w:szCs w:val="24"/>
        </w:rPr>
        <w:t xml:space="preserve"> </w:t>
      </w:r>
      <w:r w:rsidR="00084893" w:rsidRPr="00FF5403">
        <w:rPr>
          <w:rFonts w:ascii="Charter" w:hAnsi="Charter"/>
          <w:i/>
          <w:iCs/>
          <w:sz w:val="24"/>
          <w:szCs w:val="24"/>
        </w:rPr>
        <w:t>Id.</w:t>
      </w:r>
      <w:r w:rsidR="00084893" w:rsidRPr="00FF5403">
        <w:rPr>
          <w:rFonts w:ascii="Charter" w:hAnsi="Charter"/>
          <w:sz w:val="24"/>
          <w:szCs w:val="24"/>
        </w:rPr>
        <w:t xml:space="preserve"> at </w:t>
      </w:r>
      <w:r w:rsidRPr="00FF5403">
        <w:rPr>
          <w:rFonts w:ascii="Charter" w:hAnsi="Charter"/>
          <w:sz w:val="24"/>
          <w:szCs w:val="24"/>
        </w:rPr>
        <w:t>162</w:t>
      </w:r>
      <w:r w:rsidR="00084893" w:rsidRPr="00FF5403">
        <w:rPr>
          <w:rFonts w:ascii="Charter" w:hAnsi="Charter"/>
          <w:sz w:val="24"/>
          <w:szCs w:val="24"/>
        </w:rPr>
        <w:t>.</w:t>
      </w:r>
    </w:p>
  </w:footnote>
  <w:footnote w:id="75">
    <w:p w14:paraId="48828AEC" w14:textId="23B00584" w:rsidR="00AA3A0A" w:rsidRPr="00FF5403" w:rsidRDefault="00AA3A0A" w:rsidP="00AA3A0A">
      <w:pPr>
        <w:pStyle w:val="FootnoteText"/>
        <w:rPr>
          <w:rFonts w:ascii="Charter" w:hAnsi="Charter"/>
        </w:rPr>
      </w:pPr>
      <w:r w:rsidRPr="00FF5403">
        <w:rPr>
          <w:rStyle w:val="FootnoteReference"/>
          <w:rFonts w:ascii="Charter" w:hAnsi="Charter"/>
          <w:sz w:val="24"/>
          <w:szCs w:val="24"/>
        </w:rPr>
        <w:footnoteRef/>
      </w:r>
      <w:r w:rsidRPr="00FF5403">
        <w:rPr>
          <w:rFonts w:ascii="Charter" w:hAnsi="Charter"/>
          <w:sz w:val="24"/>
          <w:szCs w:val="24"/>
        </w:rPr>
        <w:t xml:space="preserve"> </w:t>
      </w:r>
      <w:r w:rsidR="00084893" w:rsidRPr="00FF5403">
        <w:rPr>
          <w:rFonts w:ascii="Charter" w:hAnsi="Charter"/>
          <w:i/>
          <w:iCs/>
          <w:sz w:val="24"/>
          <w:szCs w:val="24"/>
        </w:rPr>
        <w:t>Id.</w:t>
      </w:r>
      <w:r w:rsidR="00084893" w:rsidRPr="00FF5403">
        <w:rPr>
          <w:rFonts w:ascii="Charter" w:hAnsi="Charter"/>
          <w:sz w:val="24"/>
          <w:szCs w:val="24"/>
        </w:rPr>
        <w:t xml:space="preserve"> at </w:t>
      </w:r>
      <w:r w:rsidRPr="00FF5403">
        <w:rPr>
          <w:rFonts w:ascii="Charter" w:hAnsi="Charter"/>
          <w:sz w:val="24"/>
          <w:szCs w:val="24"/>
        </w:rPr>
        <w:t>163</w:t>
      </w:r>
      <w:r w:rsidR="00084893" w:rsidRPr="00FF5403">
        <w:rPr>
          <w:rFonts w:ascii="Charter" w:hAnsi="Charter"/>
          <w:sz w:val="24"/>
          <w:szCs w:val="24"/>
        </w:rPr>
        <w:t>.</w:t>
      </w:r>
    </w:p>
  </w:footnote>
  <w:footnote w:id="76">
    <w:p w14:paraId="0DF76FEE" w14:textId="7CCB3C7E" w:rsidR="003205B6" w:rsidRPr="00FF5403" w:rsidRDefault="003205B6">
      <w:pPr>
        <w:pStyle w:val="FootnoteText"/>
        <w:rPr>
          <w:rFonts w:ascii="Charter" w:hAnsi="Charter"/>
          <w:sz w:val="24"/>
          <w:szCs w:val="24"/>
        </w:rPr>
      </w:pPr>
      <w:r w:rsidRPr="00FF5403">
        <w:rPr>
          <w:rStyle w:val="FootnoteReference"/>
          <w:rFonts w:ascii="Charter" w:hAnsi="Charter"/>
          <w:sz w:val="24"/>
          <w:szCs w:val="24"/>
        </w:rPr>
        <w:footnoteRef/>
      </w:r>
      <w:r w:rsidRPr="00FF5403">
        <w:rPr>
          <w:rFonts w:ascii="Charter" w:hAnsi="Charter"/>
          <w:sz w:val="24"/>
          <w:szCs w:val="24"/>
        </w:rPr>
        <w:t xml:space="preserve"> </w:t>
      </w:r>
      <w:r w:rsidR="00084893" w:rsidRPr="00FF5403">
        <w:rPr>
          <w:rFonts w:ascii="Charter" w:hAnsi="Charter"/>
          <w:i/>
          <w:iCs/>
          <w:sz w:val="24"/>
          <w:szCs w:val="24"/>
        </w:rPr>
        <w:t>Id.</w:t>
      </w:r>
      <w:r w:rsidR="00084893" w:rsidRPr="00FF5403">
        <w:rPr>
          <w:rFonts w:ascii="Charter" w:hAnsi="Charter"/>
          <w:sz w:val="24"/>
          <w:szCs w:val="24"/>
        </w:rPr>
        <w:t xml:space="preserve"> at </w:t>
      </w:r>
      <w:r w:rsidRPr="00FF5403">
        <w:rPr>
          <w:rFonts w:ascii="Charter" w:hAnsi="Charter"/>
          <w:sz w:val="24"/>
          <w:szCs w:val="24"/>
        </w:rPr>
        <w:t>162</w:t>
      </w:r>
      <w:r w:rsidR="00084893" w:rsidRPr="00FF5403">
        <w:rPr>
          <w:rFonts w:ascii="Charter" w:hAnsi="Charter"/>
          <w:sz w:val="24"/>
          <w:szCs w:val="24"/>
        </w:rPr>
        <w:t>.</w:t>
      </w:r>
    </w:p>
  </w:footnote>
  <w:footnote w:id="77">
    <w:p w14:paraId="423E8257" w14:textId="59E9534C" w:rsidR="006F4959" w:rsidRPr="00FF5403" w:rsidRDefault="006F4959">
      <w:pPr>
        <w:pStyle w:val="FootnoteText"/>
        <w:rPr>
          <w:rFonts w:ascii="Charter" w:hAnsi="Charter"/>
          <w:sz w:val="24"/>
          <w:szCs w:val="24"/>
        </w:rPr>
      </w:pPr>
      <w:r w:rsidRPr="00FF5403">
        <w:rPr>
          <w:rStyle w:val="FootnoteReference"/>
          <w:rFonts w:ascii="Charter" w:hAnsi="Charter"/>
          <w:sz w:val="24"/>
          <w:szCs w:val="24"/>
        </w:rPr>
        <w:footnoteRef/>
      </w:r>
      <w:r w:rsidRPr="00FF5403">
        <w:rPr>
          <w:rFonts w:ascii="Charter" w:hAnsi="Charter"/>
          <w:sz w:val="24"/>
          <w:szCs w:val="24"/>
        </w:rPr>
        <w:t xml:space="preserve"> </w:t>
      </w:r>
      <w:r w:rsidR="00084893" w:rsidRPr="00FF5403">
        <w:rPr>
          <w:rFonts w:ascii="Charter" w:hAnsi="Charter"/>
          <w:i/>
          <w:iCs/>
          <w:sz w:val="24"/>
          <w:szCs w:val="24"/>
        </w:rPr>
        <w:t>Id.</w:t>
      </w:r>
      <w:r w:rsidR="00084893" w:rsidRPr="00FF5403">
        <w:rPr>
          <w:rFonts w:ascii="Charter" w:hAnsi="Charter"/>
          <w:sz w:val="24"/>
          <w:szCs w:val="24"/>
        </w:rPr>
        <w:t xml:space="preserve"> at </w:t>
      </w:r>
      <w:r w:rsidRPr="00FF5403">
        <w:rPr>
          <w:rFonts w:ascii="Charter" w:hAnsi="Charter"/>
          <w:sz w:val="24"/>
          <w:szCs w:val="24"/>
        </w:rPr>
        <w:t>171</w:t>
      </w:r>
      <w:r w:rsidR="00084893" w:rsidRPr="00FF5403">
        <w:rPr>
          <w:rFonts w:ascii="Charter" w:hAnsi="Charter"/>
          <w:sz w:val="24"/>
          <w:szCs w:val="24"/>
        </w:rPr>
        <w:t>.</w:t>
      </w:r>
    </w:p>
  </w:footnote>
  <w:footnote w:id="78">
    <w:p w14:paraId="359CDBB1" w14:textId="58090DFE" w:rsidR="0083656F" w:rsidRDefault="0083656F">
      <w:pPr>
        <w:pStyle w:val="FootnoteText"/>
      </w:pPr>
      <w:r w:rsidRPr="00FF5403">
        <w:rPr>
          <w:rStyle w:val="FootnoteReference"/>
          <w:rFonts w:ascii="Charter" w:hAnsi="Charter"/>
          <w:sz w:val="24"/>
          <w:szCs w:val="24"/>
        </w:rPr>
        <w:footnoteRef/>
      </w:r>
      <w:r w:rsidRPr="00FF5403">
        <w:rPr>
          <w:rFonts w:ascii="Charter" w:hAnsi="Charter"/>
          <w:sz w:val="24"/>
          <w:szCs w:val="24"/>
        </w:rPr>
        <w:t xml:space="preserve"> </w:t>
      </w:r>
      <w:r w:rsidR="00084893" w:rsidRPr="00FF5403">
        <w:rPr>
          <w:rFonts w:ascii="Charter" w:hAnsi="Charter"/>
          <w:i/>
          <w:iCs/>
          <w:sz w:val="24"/>
          <w:szCs w:val="24"/>
        </w:rPr>
        <w:t>Id.</w:t>
      </w:r>
      <w:r w:rsidR="00084893" w:rsidRPr="00FF5403">
        <w:rPr>
          <w:rFonts w:ascii="Charter" w:hAnsi="Charter"/>
          <w:sz w:val="24"/>
          <w:szCs w:val="24"/>
        </w:rPr>
        <w:t xml:space="preserve"> at </w:t>
      </w:r>
      <w:r w:rsidRPr="00FF5403">
        <w:rPr>
          <w:rFonts w:ascii="Charter" w:hAnsi="Charter"/>
          <w:sz w:val="24"/>
          <w:szCs w:val="24"/>
        </w:rPr>
        <w:t>392</w:t>
      </w:r>
      <w:r w:rsidR="00084893" w:rsidRPr="00FF5403">
        <w:rPr>
          <w:rFonts w:ascii="Charter" w:hAnsi="Charter"/>
          <w:sz w:val="24"/>
          <w:szCs w:val="24"/>
        </w:rPr>
        <w:t>.</w:t>
      </w:r>
    </w:p>
  </w:footnote>
  <w:footnote w:id="79">
    <w:p w14:paraId="5D4E3D23" w14:textId="7F788B7E" w:rsidR="003A68E4" w:rsidRPr="00FF5403" w:rsidRDefault="003A68E4">
      <w:pPr>
        <w:pStyle w:val="FootnoteText"/>
        <w:rPr>
          <w:rFonts w:ascii="Charter" w:hAnsi="Charter"/>
          <w:sz w:val="24"/>
          <w:szCs w:val="24"/>
        </w:rPr>
      </w:pPr>
      <w:r w:rsidRPr="00FF5403">
        <w:rPr>
          <w:rStyle w:val="FootnoteReference"/>
          <w:rFonts w:ascii="Charter" w:hAnsi="Charter"/>
          <w:sz w:val="24"/>
          <w:szCs w:val="24"/>
        </w:rPr>
        <w:footnoteRef/>
      </w:r>
      <w:r w:rsidRPr="00FF5403">
        <w:rPr>
          <w:rFonts w:ascii="Charter" w:hAnsi="Charter"/>
          <w:sz w:val="24"/>
          <w:szCs w:val="24"/>
        </w:rPr>
        <w:t xml:space="preserve"> Failing that, we encourage the Forest Service to </w:t>
      </w:r>
      <w:r w:rsidR="00CF3E47" w:rsidRPr="00FF5403">
        <w:rPr>
          <w:rFonts w:ascii="Charter" w:hAnsi="Charter"/>
          <w:sz w:val="24"/>
          <w:szCs w:val="24"/>
        </w:rPr>
        <w:t>elaborate further on exactly how the forthcoming lynx use maps have influenced their recommendations and alternatives analysis.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30FBA"/>
    <w:multiLevelType w:val="hybridMultilevel"/>
    <w:tmpl w:val="910A93E6"/>
    <w:lvl w:ilvl="0" w:tplc="84C882BA">
      <w:start w:val="20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BC12AB"/>
    <w:multiLevelType w:val="hybridMultilevel"/>
    <w:tmpl w:val="CD9A2B04"/>
    <w:lvl w:ilvl="0" w:tplc="EAD8DEE6">
      <w:start w:val="1"/>
      <w:numFmt w:val="lowerRoman"/>
      <w:lvlText w:val="%1."/>
      <w:lvlJc w:val="left"/>
      <w:pPr>
        <w:ind w:left="1080" w:hanging="720"/>
      </w:pPr>
      <w:rPr>
        <w:rFonts w:eastAsiaTheme="maj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A44C45"/>
    <w:multiLevelType w:val="hybridMultilevel"/>
    <w:tmpl w:val="0BECAEC2"/>
    <w:lvl w:ilvl="0" w:tplc="2DB85E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BA6FF2"/>
    <w:multiLevelType w:val="hybridMultilevel"/>
    <w:tmpl w:val="4CEC8128"/>
    <w:lvl w:ilvl="0" w:tplc="1C9A962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941D92"/>
    <w:multiLevelType w:val="hybridMultilevel"/>
    <w:tmpl w:val="5F00D6FC"/>
    <w:lvl w:ilvl="0" w:tplc="B436142C">
      <w:start w:val="20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6E2"/>
    <w:rsid w:val="00007B68"/>
    <w:rsid w:val="000169C0"/>
    <w:rsid w:val="00023D1A"/>
    <w:rsid w:val="00032FA7"/>
    <w:rsid w:val="00036328"/>
    <w:rsid w:val="00036A04"/>
    <w:rsid w:val="00072431"/>
    <w:rsid w:val="00074090"/>
    <w:rsid w:val="00075B5E"/>
    <w:rsid w:val="00077B42"/>
    <w:rsid w:val="00081B48"/>
    <w:rsid w:val="00084893"/>
    <w:rsid w:val="000975A0"/>
    <w:rsid w:val="000A585C"/>
    <w:rsid w:val="000A70D0"/>
    <w:rsid w:val="000C3268"/>
    <w:rsid w:val="000D2B08"/>
    <w:rsid w:val="000D31E3"/>
    <w:rsid w:val="000D6457"/>
    <w:rsid w:val="000D7434"/>
    <w:rsid w:val="000F2154"/>
    <w:rsid w:val="000F21BB"/>
    <w:rsid w:val="0011739D"/>
    <w:rsid w:val="00120BAF"/>
    <w:rsid w:val="0012472A"/>
    <w:rsid w:val="00127B4B"/>
    <w:rsid w:val="001345F3"/>
    <w:rsid w:val="00146CF4"/>
    <w:rsid w:val="00156222"/>
    <w:rsid w:val="001620AB"/>
    <w:rsid w:val="00162E3F"/>
    <w:rsid w:val="00165D6F"/>
    <w:rsid w:val="001712E8"/>
    <w:rsid w:val="00187A56"/>
    <w:rsid w:val="001A1AB3"/>
    <w:rsid w:val="001A2055"/>
    <w:rsid w:val="001B0CA4"/>
    <w:rsid w:val="001B0F8A"/>
    <w:rsid w:val="001C4941"/>
    <w:rsid w:val="001E07CC"/>
    <w:rsid w:val="001F5992"/>
    <w:rsid w:val="00204EFA"/>
    <w:rsid w:val="0021224E"/>
    <w:rsid w:val="00233021"/>
    <w:rsid w:val="002428A3"/>
    <w:rsid w:val="00244B87"/>
    <w:rsid w:val="0026112F"/>
    <w:rsid w:val="002665C7"/>
    <w:rsid w:val="0026725E"/>
    <w:rsid w:val="0027287E"/>
    <w:rsid w:val="00287697"/>
    <w:rsid w:val="002920A4"/>
    <w:rsid w:val="002A3E62"/>
    <w:rsid w:val="002C11BC"/>
    <w:rsid w:val="002D329C"/>
    <w:rsid w:val="002E09F9"/>
    <w:rsid w:val="002F403A"/>
    <w:rsid w:val="002F6117"/>
    <w:rsid w:val="00301A5D"/>
    <w:rsid w:val="00316B1C"/>
    <w:rsid w:val="003179C3"/>
    <w:rsid w:val="003205B6"/>
    <w:rsid w:val="00323DBA"/>
    <w:rsid w:val="0032571B"/>
    <w:rsid w:val="003335A8"/>
    <w:rsid w:val="00361EE6"/>
    <w:rsid w:val="00363BDD"/>
    <w:rsid w:val="00364A5B"/>
    <w:rsid w:val="0037292D"/>
    <w:rsid w:val="00377A87"/>
    <w:rsid w:val="00397DC5"/>
    <w:rsid w:val="003A003B"/>
    <w:rsid w:val="003A2F71"/>
    <w:rsid w:val="003A68E4"/>
    <w:rsid w:val="003C3CE5"/>
    <w:rsid w:val="003D5383"/>
    <w:rsid w:val="003E031F"/>
    <w:rsid w:val="00403CBE"/>
    <w:rsid w:val="00420055"/>
    <w:rsid w:val="00420BEF"/>
    <w:rsid w:val="0045429E"/>
    <w:rsid w:val="00463500"/>
    <w:rsid w:val="00464188"/>
    <w:rsid w:val="00473447"/>
    <w:rsid w:val="00474B0B"/>
    <w:rsid w:val="00487CE2"/>
    <w:rsid w:val="004B58EA"/>
    <w:rsid w:val="004C0DA0"/>
    <w:rsid w:val="004C792A"/>
    <w:rsid w:val="004D2BE9"/>
    <w:rsid w:val="004E1408"/>
    <w:rsid w:val="004F38B7"/>
    <w:rsid w:val="004F52F4"/>
    <w:rsid w:val="00500166"/>
    <w:rsid w:val="00522E18"/>
    <w:rsid w:val="0052602A"/>
    <w:rsid w:val="00532455"/>
    <w:rsid w:val="00541CBC"/>
    <w:rsid w:val="00555023"/>
    <w:rsid w:val="00573AE4"/>
    <w:rsid w:val="0058019F"/>
    <w:rsid w:val="00584013"/>
    <w:rsid w:val="00585CDD"/>
    <w:rsid w:val="00586273"/>
    <w:rsid w:val="005A12C1"/>
    <w:rsid w:val="005A72C4"/>
    <w:rsid w:val="005B706F"/>
    <w:rsid w:val="005C7791"/>
    <w:rsid w:val="005C7AA2"/>
    <w:rsid w:val="005D0EEA"/>
    <w:rsid w:val="005D63BD"/>
    <w:rsid w:val="005E4BB0"/>
    <w:rsid w:val="005E6B76"/>
    <w:rsid w:val="005F0DE7"/>
    <w:rsid w:val="00611E88"/>
    <w:rsid w:val="006121AD"/>
    <w:rsid w:val="006203DA"/>
    <w:rsid w:val="00626654"/>
    <w:rsid w:val="00640F39"/>
    <w:rsid w:val="00654733"/>
    <w:rsid w:val="006647A7"/>
    <w:rsid w:val="006726E2"/>
    <w:rsid w:val="0068442B"/>
    <w:rsid w:val="006A1234"/>
    <w:rsid w:val="006B3672"/>
    <w:rsid w:val="006B4031"/>
    <w:rsid w:val="006C6591"/>
    <w:rsid w:val="006E5D18"/>
    <w:rsid w:val="006E72A7"/>
    <w:rsid w:val="006F4959"/>
    <w:rsid w:val="00714C8D"/>
    <w:rsid w:val="0071746C"/>
    <w:rsid w:val="007310C1"/>
    <w:rsid w:val="00735AB0"/>
    <w:rsid w:val="007452F1"/>
    <w:rsid w:val="00747C8D"/>
    <w:rsid w:val="00757B82"/>
    <w:rsid w:val="00765528"/>
    <w:rsid w:val="007673A7"/>
    <w:rsid w:val="00782B70"/>
    <w:rsid w:val="007A2DAD"/>
    <w:rsid w:val="007B1E53"/>
    <w:rsid w:val="007B5BE9"/>
    <w:rsid w:val="007B659B"/>
    <w:rsid w:val="007E3163"/>
    <w:rsid w:val="007F68F1"/>
    <w:rsid w:val="00801CD2"/>
    <w:rsid w:val="0080245C"/>
    <w:rsid w:val="00812E2F"/>
    <w:rsid w:val="00831A90"/>
    <w:rsid w:val="008344AA"/>
    <w:rsid w:val="0083656F"/>
    <w:rsid w:val="00844D5E"/>
    <w:rsid w:val="00850176"/>
    <w:rsid w:val="0087474F"/>
    <w:rsid w:val="00877F85"/>
    <w:rsid w:val="008932DC"/>
    <w:rsid w:val="00896F6E"/>
    <w:rsid w:val="00897129"/>
    <w:rsid w:val="008A1B16"/>
    <w:rsid w:val="008A5C83"/>
    <w:rsid w:val="008A61BB"/>
    <w:rsid w:val="008B2B96"/>
    <w:rsid w:val="008C5E68"/>
    <w:rsid w:val="008D5E86"/>
    <w:rsid w:val="008F0CE5"/>
    <w:rsid w:val="008F15F6"/>
    <w:rsid w:val="008F2433"/>
    <w:rsid w:val="00905179"/>
    <w:rsid w:val="00913BCA"/>
    <w:rsid w:val="00921F9A"/>
    <w:rsid w:val="00924532"/>
    <w:rsid w:val="009426C1"/>
    <w:rsid w:val="00944232"/>
    <w:rsid w:val="00945185"/>
    <w:rsid w:val="00954622"/>
    <w:rsid w:val="009639E9"/>
    <w:rsid w:val="00964065"/>
    <w:rsid w:val="00971BFC"/>
    <w:rsid w:val="00974890"/>
    <w:rsid w:val="00977687"/>
    <w:rsid w:val="009830DE"/>
    <w:rsid w:val="00987928"/>
    <w:rsid w:val="00991963"/>
    <w:rsid w:val="009B27EF"/>
    <w:rsid w:val="009B5F8B"/>
    <w:rsid w:val="009C1200"/>
    <w:rsid w:val="009E5C06"/>
    <w:rsid w:val="009E5DAC"/>
    <w:rsid w:val="00A0778A"/>
    <w:rsid w:val="00A15A4D"/>
    <w:rsid w:val="00A3287E"/>
    <w:rsid w:val="00A55765"/>
    <w:rsid w:val="00A63EF0"/>
    <w:rsid w:val="00A670C6"/>
    <w:rsid w:val="00A6740E"/>
    <w:rsid w:val="00A75297"/>
    <w:rsid w:val="00A76C49"/>
    <w:rsid w:val="00A821A9"/>
    <w:rsid w:val="00A97D55"/>
    <w:rsid w:val="00AA3A0A"/>
    <w:rsid w:val="00AB45D5"/>
    <w:rsid w:val="00AB61BB"/>
    <w:rsid w:val="00AC2718"/>
    <w:rsid w:val="00AC7040"/>
    <w:rsid w:val="00AD25D6"/>
    <w:rsid w:val="00AF2146"/>
    <w:rsid w:val="00B0682D"/>
    <w:rsid w:val="00B177A1"/>
    <w:rsid w:val="00B22F2B"/>
    <w:rsid w:val="00B36C7C"/>
    <w:rsid w:val="00B42A3F"/>
    <w:rsid w:val="00B555EB"/>
    <w:rsid w:val="00B623B0"/>
    <w:rsid w:val="00B6478E"/>
    <w:rsid w:val="00B72B66"/>
    <w:rsid w:val="00B877A8"/>
    <w:rsid w:val="00B947DE"/>
    <w:rsid w:val="00BE2DF2"/>
    <w:rsid w:val="00BE604C"/>
    <w:rsid w:val="00BF0CD5"/>
    <w:rsid w:val="00BF7B88"/>
    <w:rsid w:val="00C06F8B"/>
    <w:rsid w:val="00C1333B"/>
    <w:rsid w:val="00C1609F"/>
    <w:rsid w:val="00C22867"/>
    <w:rsid w:val="00C274A5"/>
    <w:rsid w:val="00C374DD"/>
    <w:rsid w:val="00C47D7D"/>
    <w:rsid w:val="00C62CCA"/>
    <w:rsid w:val="00C643FF"/>
    <w:rsid w:val="00C74269"/>
    <w:rsid w:val="00C772A1"/>
    <w:rsid w:val="00C80D59"/>
    <w:rsid w:val="00C85EDA"/>
    <w:rsid w:val="00C87A66"/>
    <w:rsid w:val="00C91CCA"/>
    <w:rsid w:val="00CA05BF"/>
    <w:rsid w:val="00CA26FC"/>
    <w:rsid w:val="00CC0028"/>
    <w:rsid w:val="00CC757F"/>
    <w:rsid w:val="00CE09AC"/>
    <w:rsid w:val="00CF3E47"/>
    <w:rsid w:val="00D02E04"/>
    <w:rsid w:val="00D24311"/>
    <w:rsid w:val="00D25345"/>
    <w:rsid w:val="00D633C9"/>
    <w:rsid w:val="00D77148"/>
    <w:rsid w:val="00D811A2"/>
    <w:rsid w:val="00DC2305"/>
    <w:rsid w:val="00DE65E3"/>
    <w:rsid w:val="00DF77AE"/>
    <w:rsid w:val="00E142B8"/>
    <w:rsid w:val="00E23720"/>
    <w:rsid w:val="00E256B5"/>
    <w:rsid w:val="00E2745B"/>
    <w:rsid w:val="00E314D1"/>
    <w:rsid w:val="00E34132"/>
    <w:rsid w:val="00E50F53"/>
    <w:rsid w:val="00E530EB"/>
    <w:rsid w:val="00E56155"/>
    <w:rsid w:val="00E56B7B"/>
    <w:rsid w:val="00E57B1D"/>
    <w:rsid w:val="00E621B8"/>
    <w:rsid w:val="00E64471"/>
    <w:rsid w:val="00E7687E"/>
    <w:rsid w:val="00E85E69"/>
    <w:rsid w:val="00E90007"/>
    <w:rsid w:val="00E91EBE"/>
    <w:rsid w:val="00E961FD"/>
    <w:rsid w:val="00EA3E0E"/>
    <w:rsid w:val="00EA5ECE"/>
    <w:rsid w:val="00EB184A"/>
    <w:rsid w:val="00ED190D"/>
    <w:rsid w:val="00ED2697"/>
    <w:rsid w:val="00ED2D32"/>
    <w:rsid w:val="00ED788C"/>
    <w:rsid w:val="00EF1A13"/>
    <w:rsid w:val="00EF6821"/>
    <w:rsid w:val="00F00133"/>
    <w:rsid w:val="00F00CED"/>
    <w:rsid w:val="00F04E09"/>
    <w:rsid w:val="00F06F1B"/>
    <w:rsid w:val="00F11E69"/>
    <w:rsid w:val="00F17213"/>
    <w:rsid w:val="00F312F5"/>
    <w:rsid w:val="00F51693"/>
    <w:rsid w:val="00F52E61"/>
    <w:rsid w:val="00F56375"/>
    <w:rsid w:val="00F66096"/>
    <w:rsid w:val="00F660A7"/>
    <w:rsid w:val="00F66E7A"/>
    <w:rsid w:val="00F75332"/>
    <w:rsid w:val="00F771F2"/>
    <w:rsid w:val="00FA2D8B"/>
    <w:rsid w:val="00FA41CE"/>
    <w:rsid w:val="00FA464C"/>
    <w:rsid w:val="00FE152B"/>
    <w:rsid w:val="00FF5403"/>
    <w:rsid w:val="00FF6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92316"/>
  <w15:chartTrackingRefBased/>
  <w15:docId w15:val="{366D0B78-8B21-4DDB-9E6D-A644D31EA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72A1"/>
    <w:pPr>
      <w:keepNext/>
      <w:keepLines/>
      <w:spacing w:before="240" w:after="0"/>
      <w:jc w:val="center"/>
      <w:outlineLvl w:val="0"/>
    </w:pPr>
    <w:rPr>
      <w:rFonts w:ascii="Charter" w:eastAsiaTheme="majorEastAsia" w:hAnsi="Charter" w:cstheme="majorBidi"/>
      <w:b/>
      <w:sz w:val="32"/>
      <w:szCs w:val="32"/>
    </w:rPr>
  </w:style>
  <w:style w:type="paragraph" w:styleId="Heading2">
    <w:name w:val="heading 2"/>
    <w:basedOn w:val="Normal"/>
    <w:next w:val="Normal"/>
    <w:link w:val="Heading2Char"/>
    <w:uiPriority w:val="9"/>
    <w:unhideWhenUsed/>
    <w:qFormat/>
    <w:rsid w:val="00C772A1"/>
    <w:pPr>
      <w:keepNext/>
      <w:keepLines/>
      <w:spacing w:before="40" w:after="0"/>
      <w:jc w:val="center"/>
      <w:outlineLvl w:val="1"/>
    </w:pPr>
    <w:rPr>
      <w:rFonts w:ascii="Charter" w:eastAsiaTheme="majorEastAsia" w:hAnsi="Charter" w:cstheme="majorBidi"/>
      <w:b/>
      <w:sz w:val="26"/>
      <w:szCs w:val="26"/>
    </w:rPr>
  </w:style>
  <w:style w:type="paragraph" w:styleId="Heading3">
    <w:name w:val="heading 3"/>
    <w:basedOn w:val="Normal"/>
    <w:next w:val="Normal"/>
    <w:link w:val="Heading3Char"/>
    <w:uiPriority w:val="9"/>
    <w:unhideWhenUsed/>
    <w:qFormat/>
    <w:rsid w:val="00C85EDA"/>
    <w:pPr>
      <w:keepNext/>
      <w:keepLines/>
      <w:spacing w:before="40" w:after="0"/>
      <w:jc w:val="center"/>
      <w:outlineLvl w:val="2"/>
    </w:pPr>
    <w:rPr>
      <w:rFonts w:ascii="Charter" w:eastAsiaTheme="majorEastAsia" w:hAnsi="Charter"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64065"/>
    <w:rPr>
      <w:sz w:val="16"/>
      <w:szCs w:val="16"/>
    </w:rPr>
  </w:style>
  <w:style w:type="paragraph" w:styleId="CommentText">
    <w:name w:val="annotation text"/>
    <w:basedOn w:val="Normal"/>
    <w:link w:val="CommentTextChar"/>
    <w:uiPriority w:val="99"/>
    <w:semiHidden/>
    <w:unhideWhenUsed/>
    <w:rsid w:val="00964065"/>
    <w:pPr>
      <w:spacing w:after="0" w:line="240" w:lineRule="auto"/>
    </w:pPr>
    <w:rPr>
      <w:rFonts w:ascii="Arial" w:eastAsia="Arial" w:hAnsi="Arial" w:cs="Arial"/>
      <w:sz w:val="20"/>
      <w:szCs w:val="20"/>
      <w:lang w:val="en"/>
    </w:rPr>
  </w:style>
  <w:style w:type="character" w:customStyle="1" w:styleId="CommentTextChar">
    <w:name w:val="Comment Text Char"/>
    <w:basedOn w:val="DefaultParagraphFont"/>
    <w:link w:val="CommentText"/>
    <w:uiPriority w:val="99"/>
    <w:semiHidden/>
    <w:rsid w:val="00964065"/>
    <w:rPr>
      <w:rFonts w:ascii="Arial" w:eastAsia="Arial" w:hAnsi="Arial" w:cs="Arial"/>
      <w:sz w:val="20"/>
      <w:szCs w:val="20"/>
      <w:lang w:val="en"/>
    </w:rPr>
  </w:style>
  <w:style w:type="character" w:customStyle="1" w:styleId="Heading2Char">
    <w:name w:val="Heading 2 Char"/>
    <w:basedOn w:val="DefaultParagraphFont"/>
    <w:link w:val="Heading2"/>
    <w:uiPriority w:val="9"/>
    <w:rsid w:val="00C772A1"/>
    <w:rPr>
      <w:rFonts w:ascii="Charter" w:eastAsiaTheme="majorEastAsia" w:hAnsi="Charter" w:cstheme="majorBidi"/>
      <w:b/>
      <w:sz w:val="26"/>
      <w:szCs w:val="26"/>
    </w:rPr>
  </w:style>
  <w:style w:type="character" w:customStyle="1" w:styleId="Heading1Char">
    <w:name w:val="Heading 1 Char"/>
    <w:basedOn w:val="DefaultParagraphFont"/>
    <w:link w:val="Heading1"/>
    <w:uiPriority w:val="9"/>
    <w:rsid w:val="00C772A1"/>
    <w:rPr>
      <w:rFonts w:ascii="Charter" w:eastAsiaTheme="majorEastAsia" w:hAnsi="Charter" w:cstheme="majorBidi"/>
      <w:b/>
      <w:sz w:val="32"/>
      <w:szCs w:val="32"/>
    </w:rPr>
  </w:style>
  <w:style w:type="character" w:customStyle="1" w:styleId="Heading3Char">
    <w:name w:val="Heading 3 Char"/>
    <w:basedOn w:val="DefaultParagraphFont"/>
    <w:link w:val="Heading3"/>
    <w:uiPriority w:val="9"/>
    <w:rsid w:val="00C85EDA"/>
    <w:rPr>
      <w:rFonts w:ascii="Charter" w:eastAsiaTheme="majorEastAsia" w:hAnsi="Charter" w:cstheme="majorBidi"/>
      <w:b/>
      <w:sz w:val="24"/>
      <w:szCs w:val="24"/>
    </w:rPr>
  </w:style>
  <w:style w:type="paragraph" w:styleId="CommentSubject">
    <w:name w:val="annotation subject"/>
    <w:basedOn w:val="CommentText"/>
    <w:next w:val="CommentText"/>
    <w:link w:val="CommentSubjectChar"/>
    <w:uiPriority w:val="99"/>
    <w:semiHidden/>
    <w:unhideWhenUsed/>
    <w:rsid w:val="000169C0"/>
    <w:pPr>
      <w:spacing w:after="16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0169C0"/>
    <w:rPr>
      <w:rFonts w:ascii="Arial" w:eastAsia="Arial" w:hAnsi="Arial" w:cs="Arial"/>
      <w:b/>
      <w:bCs/>
      <w:sz w:val="20"/>
      <w:szCs w:val="20"/>
      <w:lang w:val="en"/>
    </w:rPr>
  </w:style>
  <w:style w:type="paragraph" w:styleId="ListParagraph">
    <w:name w:val="List Paragraph"/>
    <w:basedOn w:val="Normal"/>
    <w:uiPriority w:val="34"/>
    <w:qFormat/>
    <w:rsid w:val="00287697"/>
    <w:pPr>
      <w:ind w:left="720"/>
      <w:contextualSpacing/>
    </w:pPr>
  </w:style>
  <w:style w:type="paragraph" w:styleId="FootnoteText">
    <w:name w:val="footnote text"/>
    <w:basedOn w:val="Normal"/>
    <w:link w:val="FootnoteTextChar"/>
    <w:uiPriority w:val="99"/>
    <w:semiHidden/>
    <w:unhideWhenUsed/>
    <w:rsid w:val="009639E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9639E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639E9"/>
    <w:rPr>
      <w:vertAlign w:val="superscript"/>
    </w:rPr>
  </w:style>
  <w:style w:type="paragraph" w:customStyle="1" w:styleId="TLPCDMCACommentParagaraphStyle">
    <w:name w:val="TLPC DMCA Comment Paragaraph Style"/>
    <w:basedOn w:val="Normal"/>
    <w:qFormat/>
    <w:rsid w:val="00F75332"/>
    <w:pPr>
      <w:spacing w:after="80" w:line="340" w:lineRule="exact"/>
      <w:ind w:firstLine="432"/>
    </w:pPr>
    <w:rPr>
      <w:rFonts w:ascii="Charter" w:eastAsiaTheme="minorEastAsia" w:hAnsi="Charter"/>
      <w:kern w:val="16"/>
      <w:sz w:val="24"/>
      <w:szCs w:val="24"/>
    </w:rPr>
  </w:style>
  <w:style w:type="paragraph" w:styleId="TOCHeading">
    <w:name w:val="TOC Heading"/>
    <w:basedOn w:val="Heading1"/>
    <w:next w:val="Normal"/>
    <w:uiPriority w:val="39"/>
    <w:unhideWhenUsed/>
    <w:qFormat/>
    <w:rsid w:val="00E56B7B"/>
    <w:pPr>
      <w:outlineLvl w:val="9"/>
    </w:pPr>
  </w:style>
  <w:style w:type="paragraph" w:styleId="TOC1">
    <w:name w:val="toc 1"/>
    <w:basedOn w:val="Normal"/>
    <w:next w:val="Normal"/>
    <w:autoRedefine/>
    <w:uiPriority w:val="39"/>
    <w:unhideWhenUsed/>
    <w:rsid w:val="00E56B7B"/>
    <w:pPr>
      <w:spacing w:after="100"/>
    </w:pPr>
  </w:style>
  <w:style w:type="paragraph" w:styleId="TOC2">
    <w:name w:val="toc 2"/>
    <w:basedOn w:val="Normal"/>
    <w:next w:val="Normal"/>
    <w:autoRedefine/>
    <w:uiPriority w:val="39"/>
    <w:unhideWhenUsed/>
    <w:rsid w:val="00E56B7B"/>
    <w:pPr>
      <w:spacing w:after="100"/>
      <w:ind w:left="220"/>
    </w:pPr>
  </w:style>
  <w:style w:type="paragraph" w:styleId="TOC3">
    <w:name w:val="toc 3"/>
    <w:basedOn w:val="Normal"/>
    <w:next w:val="Normal"/>
    <w:autoRedefine/>
    <w:uiPriority w:val="39"/>
    <w:unhideWhenUsed/>
    <w:rsid w:val="00E56B7B"/>
    <w:pPr>
      <w:spacing w:after="100"/>
      <w:ind w:left="440"/>
    </w:pPr>
  </w:style>
  <w:style w:type="character" w:styleId="Hyperlink">
    <w:name w:val="Hyperlink"/>
    <w:basedOn w:val="DefaultParagraphFont"/>
    <w:uiPriority w:val="99"/>
    <w:unhideWhenUsed/>
    <w:rsid w:val="00E56B7B"/>
    <w:rPr>
      <w:color w:val="0563C1" w:themeColor="hyperlink"/>
      <w:u w:val="single"/>
    </w:rPr>
  </w:style>
  <w:style w:type="paragraph" w:styleId="Header">
    <w:name w:val="header"/>
    <w:basedOn w:val="Normal"/>
    <w:link w:val="HeaderChar"/>
    <w:uiPriority w:val="99"/>
    <w:unhideWhenUsed/>
    <w:rsid w:val="004D2B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2BE9"/>
  </w:style>
  <w:style w:type="paragraph" w:styleId="Footer">
    <w:name w:val="footer"/>
    <w:basedOn w:val="Normal"/>
    <w:link w:val="FooterChar"/>
    <w:uiPriority w:val="99"/>
    <w:unhideWhenUsed/>
    <w:rsid w:val="004D2B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2BE9"/>
  </w:style>
  <w:style w:type="paragraph" w:styleId="NoSpacing">
    <w:name w:val="No Spacing"/>
    <w:link w:val="NoSpacingChar"/>
    <w:uiPriority w:val="1"/>
    <w:qFormat/>
    <w:rsid w:val="00BE604C"/>
    <w:pPr>
      <w:spacing w:after="0" w:line="240" w:lineRule="auto"/>
    </w:pPr>
    <w:rPr>
      <w:rFonts w:eastAsiaTheme="minorEastAsia"/>
    </w:rPr>
  </w:style>
  <w:style w:type="character" w:customStyle="1" w:styleId="NoSpacingChar">
    <w:name w:val="No Spacing Char"/>
    <w:basedOn w:val="DefaultParagraphFont"/>
    <w:link w:val="NoSpacing"/>
    <w:uiPriority w:val="1"/>
    <w:rsid w:val="00BE604C"/>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39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fs.usda.gov/Internet/FSE_DOCUMENTS/stelprdb5199575.pdf" TargetMode="External"/><Relationship Id="rId7" Type="http://schemas.openxmlformats.org/officeDocument/2006/relationships/hyperlink" Target="https://www.fs.usda.gov/Internet/FSE_DOCUMENTS/fseprd939809.pdf" TargetMode="External"/><Relationship Id="rId2" Type="http://schemas.openxmlformats.org/officeDocument/2006/relationships/hyperlink" Target="https://www.fws.gov/mountain-prairie/pressrel/2000/00-08.htm" TargetMode="External"/><Relationship Id="rId1" Type="http://schemas.openxmlformats.org/officeDocument/2006/relationships/hyperlink" Target="https://www.fs.usda.gov/treesearch/pubs/4546" TargetMode="External"/><Relationship Id="rId6" Type="http://schemas.openxmlformats.org/officeDocument/2006/relationships/hyperlink" Target="https://www.fs.usda.gov/Internet/FSE_DOCUMENTS/fseprd939801.pdf" TargetMode="External"/><Relationship Id="rId5" Type="http://schemas.openxmlformats.org/officeDocument/2006/relationships/hyperlink" Target="https://www.fs.fed.us/biology/resources/pubs/wildlife/LCAS_revisedAugust2013.pdf" TargetMode="External"/><Relationship Id="rId4" Type="http://schemas.openxmlformats.org/officeDocument/2006/relationships/hyperlink" Target="https://www.fs.usda.gov/Internet/FSE_DOCUMENTS/stelprdb535737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03E4F-9B0D-4A94-AFA3-5403F10FB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5858</Words>
  <Characters>33396</Characters>
  <Application>Microsoft Office Word</Application>
  <DocSecurity>0</DocSecurity>
  <Lines>278</Lines>
  <Paragraphs>78</Paragraphs>
  <ScaleCrop>false</ScaleCrop>
  <Company/>
  <LinksUpToDate>false</LinksUpToDate>
  <CharactersWithSpaces>39176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Lennon</dc:creator>
  <cp:keywords/>
  <dc:description/>
  <cp:lastModifiedBy>Gabriel Lennon</cp:lastModifiedBy>
  <cp:revision>5</cp:revision>
  <dcterms:created xsi:type="dcterms:W3CDTF">2021-11-26T00:10:00Z</dcterms:created>
  <dcterms:modified xsi:type="dcterms:W3CDTF">2021-11-26T00:13:00Z</dcterms:modified>
</cp:coreProperties>
</file>