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7940" w14:textId="41B04B67" w:rsidR="00C403D1" w:rsidRDefault="00C403D1" w:rsidP="00995F90">
      <w:pPr>
        <w:jc w:val="center"/>
        <w:rPr>
          <w:rFonts w:ascii="Calibri" w:hAnsi="Calibri" w:cs="Calibri"/>
          <w:color w:val="444444"/>
          <w:shd w:val="clear" w:color="auto" w:fill="FFFFFF"/>
        </w:rPr>
      </w:pPr>
      <w:r w:rsidRPr="00C403D1">
        <w:rPr>
          <w:b/>
          <w:bCs/>
          <w:sz w:val="28"/>
          <w:szCs w:val="28"/>
        </w:rPr>
        <w:t xml:space="preserve">Grand Mesa, Uncompahgre, and Gunnison National Forest – </w:t>
      </w:r>
      <w:r w:rsidR="00995F90">
        <w:rPr>
          <w:b/>
          <w:bCs/>
          <w:sz w:val="28"/>
          <w:szCs w:val="28"/>
        </w:rPr>
        <w:t xml:space="preserve">Draft </w:t>
      </w:r>
      <w:r w:rsidRPr="00C403D1">
        <w:rPr>
          <w:b/>
          <w:bCs/>
          <w:sz w:val="28"/>
          <w:szCs w:val="28"/>
        </w:rPr>
        <w:t>Plan Revision Comments</w:t>
      </w:r>
      <w:r w:rsidR="00995F90">
        <w:rPr>
          <w:b/>
          <w:bCs/>
          <w:sz w:val="28"/>
          <w:szCs w:val="28"/>
        </w:rPr>
        <w:br/>
      </w:r>
      <w:r w:rsidR="00995F90">
        <w:rPr>
          <w:rFonts w:ascii="Calibri" w:hAnsi="Calibri" w:cs="Calibri"/>
          <w:color w:val="444444"/>
          <w:shd w:val="clear" w:color="auto" w:fill="FFFFFF"/>
        </w:rPr>
        <w:t>(</w:t>
      </w:r>
      <w:r w:rsidR="00995F90" w:rsidRPr="004B42E9">
        <w:rPr>
          <w:rFonts w:ascii="Calibri" w:hAnsi="Calibri" w:cs="Calibri"/>
          <w:b/>
          <w:bCs/>
          <w:color w:val="444444"/>
          <w:shd w:val="clear" w:color="auto" w:fill="FFFFFF"/>
        </w:rPr>
        <w:t xml:space="preserve">August 13 through November </w:t>
      </w:r>
      <w:r w:rsidR="003975D8">
        <w:rPr>
          <w:rFonts w:ascii="Calibri" w:hAnsi="Calibri" w:cs="Calibri"/>
          <w:b/>
          <w:bCs/>
          <w:color w:val="444444"/>
          <w:shd w:val="clear" w:color="auto" w:fill="FFFFFF"/>
        </w:rPr>
        <w:t>26</w:t>
      </w:r>
      <w:r w:rsidR="00995F90" w:rsidRPr="004B42E9">
        <w:rPr>
          <w:rFonts w:ascii="Calibri" w:hAnsi="Calibri" w:cs="Calibri"/>
          <w:b/>
          <w:bCs/>
          <w:color w:val="444444"/>
          <w:shd w:val="clear" w:color="auto" w:fill="FFFFFF"/>
        </w:rPr>
        <w:t>, 2021</w:t>
      </w:r>
      <w:r w:rsidR="00995F90">
        <w:rPr>
          <w:rFonts w:ascii="Calibri" w:hAnsi="Calibri" w:cs="Calibri"/>
          <w:color w:val="444444"/>
          <w:shd w:val="clear" w:color="auto" w:fill="FFFFFF"/>
        </w:rPr>
        <w:t>)</w:t>
      </w:r>
    </w:p>
    <w:p w14:paraId="2FEDCD43" w14:textId="52D58D21" w:rsidR="003975D8" w:rsidRPr="003975D8" w:rsidRDefault="003975D8" w:rsidP="003975D8">
      <w:pPr>
        <w:jc w:val="center"/>
        <w:rPr>
          <w:sz w:val="28"/>
          <w:szCs w:val="28"/>
        </w:rPr>
      </w:pPr>
      <w:r>
        <w:rPr>
          <w:sz w:val="28"/>
          <w:szCs w:val="28"/>
        </w:rPr>
        <w:t>Submitted by</w:t>
      </w:r>
      <w:r>
        <w:rPr>
          <w:sz w:val="28"/>
          <w:szCs w:val="28"/>
        </w:rPr>
        <w:br/>
        <w:t xml:space="preserve">Bureau of Land Management, Upper Colorado River District </w:t>
      </w:r>
    </w:p>
    <w:tbl>
      <w:tblPr>
        <w:tblStyle w:val="TableGrid"/>
        <w:tblW w:w="12950" w:type="dxa"/>
        <w:tblLook w:val="04A0" w:firstRow="1" w:lastRow="0" w:firstColumn="1" w:lastColumn="0" w:noHBand="0" w:noVBand="1"/>
      </w:tblPr>
      <w:tblGrid>
        <w:gridCol w:w="1373"/>
        <w:gridCol w:w="987"/>
        <w:gridCol w:w="1079"/>
        <w:gridCol w:w="2136"/>
        <w:gridCol w:w="4328"/>
        <w:gridCol w:w="3047"/>
      </w:tblGrid>
      <w:tr w:rsidR="00E22C7D" w:rsidRPr="00C403D1" w14:paraId="1BFDE30B" w14:textId="40539C33" w:rsidTr="00926B40">
        <w:tc>
          <w:tcPr>
            <w:tcW w:w="1373" w:type="dxa"/>
            <w:shd w:val="clear" w:color="auto" w:fill="D9D9D9" w:themeFill="background1" w:themeFillShade="D9"/>
          </w:tcPr>
          <w:p w14:paraId="0D35E38A" w14:textId="777F266E" w:rsidR="00E22C7D" w:rsidRPr="00C403D1" w:rsidRDefault="00E22C7D" w:rsidP="00380AD1">
            <w:pPr>
              <w:rPr>
                <w:b/>
                <w:bCs/>
                <w:sz w:val="24"/>
                <w:szCs w:val="24"/>
              </w:rPr>
            </w:pPr>
            <w:r>
              <w:rPr>
                <w:b/>
                <w:bCs/>
                <w:sz w:val="24"/>
                <w:szCs w:val="24"/>
              </w:rPr>
              <w:t>Comment #</w:t>
            </w:r>
          </w:p>
        </w:tc>
        <w:tc>
          <w:tcPr>
            <w:tcW w:w="962" w:type="dxa"/>
            <w:shd w:val="clear" w:color="auto" w:fill="D9D9D9" w:themeFill="background1" w:themeFillShade="D9"/>
          </w:tcPr>
          <w:p w14:paraId="164A12E0" w14:textId="1AF94857" w:rsidR="00E22C7D" w:rsidRPr="00C403D1" w:rsidRDefault="00E22C7D" w:rsidP="00380AD1">
            <w:pPr>
              <w:rPr>
                <w:b/>
                <w:bCs/>
                <w:sz w:val="24"/>
                <w:szCs w:val="24"/>
              </w:rPr>
            </w:pPr>
            <w:r>
              <w:rPr>
                <w:b/>
                <w:bCs/>
                <w:sz w:val="24"/>
                <w:szCs w:val="24"/>
              </w:rPr>
              <w:t>Page #</w:t>
            </w:r>
          </w:p>
        </w:tc>
        <w:tc>
          <w:tcPr>
            <w:tcW w:w="1080" w:type="dxa"/>
            <w:shd w:val="clear" w:color="auto" w:fill="D9D9D9" w:themeFill="background1" w:themeFillShade="D9"/>
          </w:tcPr>
          <w:p w14:paraId="235236A4" w14:textId="6B3518FC" w:rsidR="00E22C7D" w:rsidRDefault="00E22C7D" w:rsidP="00380AD1">
            <w:pPr>
              <w:rPr>
                <w:b/>
                <w:bCs/>
                <w:sz w:val="24"/>
                <w:szCs w:val="24"/>
              </w:rPr>
            </w:pPr>
            <w:r>
              <w:rPr>
                <w:b/>
                <w:bCs/>
                <w:sz w:val="24"/>
                <w:szCs w:val="24"/>
              </w:rPr>
              <w:t>Line, Figure, Table #</w:t>
            </w:r>
          </w:p>
        </w:tc>
        <w:tc>
          <w:tcPr>
            <w:tcW w:w="2140" w:type="dxa"/>
            <w:shd w:val="clear" w:color="auto" w:fill="D9D9D9" w:themeFill="background1" w:themeFillShade="D9"/>
          </w:tcPr>
          <w:p w14:paraId="0EC37F7A" w14:textId="46040575" w:rsidR="00E22C7D" w:rsidRPr="00C403D1" w:rsidRDefault="00E22C7D" w:rsidP="00380AD1">
            <w:pPr>
              <w:rPr>
                <w:b/>
                <w:bCs/>
                <w:sz w:val="24"/>
                <w:szCs w:val="24"/>
              </w:rPr>
            </w:pPr>
            <w:r>
              <w:rPr>
                <w:b/>
                <w:bCs/>
                <w:sz w:val="24"/>
                <w:szCs w:val="24"/>
              </w:rPr>
              <w:t>Commenter Name, Title, Field Office</w:t>
            </w:r>
          </w:p>
        </w:tc>
        <w:tc>
          <w:tcPr>
            <w:tcW w:w="4340" w:type="dxa"/>
            <w:shd w:val="clear" w:color="auto" w:fill="D9D9D9" w:themeFill="background1" w:themeFillShade="D9"/>
          </w:tcPr>
          <w:p w14:paraId="79E78BF0" w14:textId="1EB3DA4C" w:rsidR="00E22C7D" w:rsidRPr="00C403D1" w:rsidRDefault="00E22C7D" w:rsidP="00380AD1">
            <w:pPr>
              <w:rPr>
                <w:b/>
                <w:bCs/>
                <w:sz w:val="24"/>
                <w:szCs w:val="24"/>
              </w:rPr>
            </w:pPr>
            <w:r w:rsidRPr="00C403D1">
              <w:rPr>
                <w:b/>
                <w:bCs/>
                <w:sz w:val="24"/>
                <w:szCs w:val="24"/>
              </w:rPr>
              <w:t>Comment</w:t>
            </w:r>
            <w:r>
              <w:rPr>
                <w:b/>
                <w:bCs/>
                <w:sz w:val="24"/>
                <w:szCs w:val="24"/>
              </w:rPr>
              <w:t xml:space="preserve"> or Recommendation</w:t>
            </w:r>
          </w:p>
        </w:tc>
        <w:tc>
          <w:tcPr>
            <w:tcW w:w="3055" w:type="dxa"/>
            <w:shd w:val="clear" w:color="auto" w:fill="D9D9D9" w:themeFill="background1" w:themeFillShade="D9"/>
          </w:tcPr>
          <w:p w14:paraId="629C2B0A" w14:textId="38147640" w:rsidR="00E22C7D" w:rsidRPr="00C403D1" w:rsidRDefault="00E22C7D" w:rsidP="00380AD1">
            <w:pPr>
              <w:rPr>
                <w:b/>
                <w:bCs/>
                <w:sz w:val="24"/>
                <w:szCs w:val="24"/>
              </w:rPr>
            </w:pPr>
            <w:r>
              <w:rPr>
                <w:b/>
                <w:bCs/>
                <w:sz w:val="24"/>
                <w:szCs w:val="24"/>
              </w:rPr>
              <w:t>Rationale, Sources, Notes</w:t>
            </w:r>
          </w:p>
        </w:tc>
      </w:tr>
      <w:tr w:rsidR="00E22C7D" w14:paraId="2D2DEC61" w14:textId="1C2C08A9" w:rsidTr="00F7785C">
        <w:tc>
          <w:tcPr>
            <w:tcW w:w="1373" w:type="dxa"/>
          </w:tcPr>
          <w:p w14:paraId="6E2C3A61" w14:textId="6D6E4011" w:rsidR="00E22C7D" w:rsidRPr="00601647" w:rsidRDefault="00D05A8A" w:rsidP="00380AD1">
            <w:pPr>
              <w:rPr>
                <w:sz w:val="24"/>
                <w:szCs w:val="24"/>
              </w:rPr>
            </w:pPr>
            <w:r>
              <w:rPr>
                <w:sz w:val="24"/>
                <w:szCs w:val="24"/>
              </w:rPr>
              <w:t>1</w:t>
            </w:r>
          </w:p>
        </w:tc>
        <w:tc>
          <w:tcPr>
            <w:tcW w:w="962" w:type="dxa"/>
          </w:tcPr>
          <w:p w14:paraId="75FBDE7B" w14:textId="4A714F93" w:rsidR="00E22C7D" w:rsidRPr="00601647" w:rsidRDefault="00D05A8A" w:rsidP="00380AD1">
            <w:pPr>
              <w:rPr>
                <w:sz w:val="24"/>
                <w:szCs w:val="24"/>
              </w:rPr>
            </w:pPr>
            <w:r>
              <w:rPr>
                <w:sz w:val="24"/>
                <w:szCs w:val="24"/>
              </w:rPr>
              <w:t>29</w:t>
            </w:r>
          </w:p>
        </w:tc>
        <w:tc>
          <w:tcPr>
            <w:tcW w:w="1080" w:type="dxa"/>
          </w:tcPr>
          <w:p w14:paraId="3C090828" w14:textId="5B3EBF4C" w:rsidR="00E22C7D" w:rsidRPr="00601647" w:rsidRDefault="00D05A8A" w:rsidP="00380AD1">
            <w:pPr>
              <w:rPr>
                <w:sz w:val="24"/>
                <w:szCs w:val="24"/>
              </w:rPr>
            </w:pPr>
            <w:r>
              <w:rPr>
                <w:sz w:val="24"/>
                <w:szCs w:val="24"/>
              </w:rPr>
              <w:t>NA</w:t>
            </w:r>
          </w:p>
        </w:tc>
        <w:tc>
          <w:tcPr>
            <w:tcW w:w="2140" w:type="dxa"/>
          </w:tcPr>
          <w:p w14:paraId="3C29C732" w14:textId="478D2F74" w:rsidR="00E22C7D" w:rsidRPr="00601647" w:rsidRDefault="00D05A8A" w:rsidP="00380AD1">
            <w:pPr>
              <w:rPr>
                <w:sz w:val="24"/>
                <w:szCs w:val="24"/>
              </w:rPr>
            </w:pPr>
            <w:r>
              <w:rPr>
                <w:sz w:val="24"/>
                <w:szCs w:val="24"/>
              </w:rPr>
              <w:t>Christina Stark, AFM, GJFO</w:t>
            </w:r>
          </w:p>
        </w:tc>
        <w:tc>
          <w:tcPr>
            <w:tcW w:w="4340" w:type="dxa"/>
          </w:tcPr>
          <w:p w14:paraId="562AEA81" w14:textId="6E36A5E7" w:rsidR="00E22C7D" w:rsidRPr="00601647" w:rsidRDefault="00D05A8A" w:rsidP="00380AD1">
            <w:pPr>
              <w:rPr>
                <w:sz w:val="24"/>
                <w:szCs w:val="24"/>
              </w:rPr>
            </w:pPr>
            <w:r>
              <w:rPr>
                <w:sz w:val="24"/>
                <w:szCs w:val="24"/>
              </w:rPr>
              <w:t xml:space="preserve">Under FW-DC-SPEC-12 should ECO-06 be ECO-05? </w:t>
            </w:r>
          </w:p>
        </w:tc>
        <w:tc>
          <w:tcPr>
            <w:tcW w:w="3055" w:type="dxa"/>
          </w:tcPr>
          <w:p w14:paraId="6054EFB1" w14:textId="06972637" w:rsidR="00E22C7D" w:rsidRPr="00601647" w:rsidRDefault="00D05A8A" w:rsidP="00380AD1">
            <w:pPr>
              <w:rPr>
                <w:sz w:val="24"/>
                <w:szCs w:val="24"/>
              </w:rPr>
            </w:pPr>
            <w:r>
              <w:rPr>
                <w:sz w:val="24"/>
                <w:szCs w:val="24"/>
              </w:rPr>
              <w:t>FW-DC-SPEC-12 is for big game species desired condition. ECO-05 appears to be focused on connectivity and ECO-06 is for snags a</w:t>
            </w:r>
            <w:r w:rsidR="0045121B">
              <w:rPr>
                <w:sz w:val="24"/>
                <w:szCs w:val="24"/>
              </w:rPr>
              <w:t>n</w:t>
            </w:r>
            <w:r>
              <w:rPr>
                <w:sz w:val="24"/>
                <w:szCs w:val="24"/>
              </w:rPr>
              <w:t>d coarse wood.</w:t>
            </w:r>
          </w:p>
        </w:tc>
      </w:tr>
      <w:tr w:rsidR="00E22C7D" w14:paraId="0B6C01A9" w14:textId="357C5143" w:rsidTr="00F7785C">
        <w:tc>
          <w:tcPr>
            <w:tcW w:w="1373" w:type="dxa"/>
          </w:tcPr>
          <w:p w14:paraId="74067D93" w14:textId="6CF596FC" w:rsidR="00E22C7D" w:rsidRPr="00601647" w:rsidRDefault="00D518AA" w:rsidP="00380AD1">
            <w:pPr>
              <w:rPr>
                <w:sz w:val="24"/>
                <w:szCs w:val="24"/>
              </w:rPr>
            </w:pPr>
            <w:r>
              <w:rPr>
                <w:sz w:val="24"/>
                <w:szCs w:val="24"/>
              </w:rPr>
              <w:t>2</w:t>
            </w:r>
          </w:p>
        </w:tc>
        <w:tc>
          <w:tcPr>
            <w:tcW w:w="962" w:type="dxa"/>
          </w:tcPr>
          <w:p w14:paraId="55D200BB" w14:textId="64481DE1" w:rsidR="00E22C7D" w:rsidRPr="00601647" w:rsidRDefault="00D518AA" w:rsidP="00380AD1">
            <w:pPr>
              <w:rPr>
                <w:sz w:val="24"/>
                <w:szCs w:val="24"/>
              </w:rPr>
            </w:pPr>
            <w:r>
              <w:rPr>
                <w:sz w:val="24"/>
                <w:szCs w:val="24"/>
              </w:rPr>
              <w:t>General</w:t>
            </w:r>
          </w:p>
        </w:tc>
        <w:tc>
          <w:tcPr>
            <w:tcW w:w="1080" w:type="dxa"/>
          </w:tcPr>
          <w:p w14:paraId="03BDA5C8" w14:textId="03225FDA" w:rsidR="00E22C7D" w:rsidRPr="00601647" w:rsidRDefault="00D518AA" w:rsidP="00380AD1">
            <w:pPr>
              <w:rPr>
                <w:sz w:val="24"/>
                <w:szCs w:val="24"/>
              </w:rPr>
            </w:pPr>
            <w:r>
              <w:rPr>
                <w:sz w:val="24"/>
                <w:szCs w:val="24"/>
              </w:rPr>
              <w:t>NA</w:t>
            </w:r>
          </w:p>
        </w:tc>
        <w:tc>
          <w:tcPr>
            <w:tcW w:w="2140" w:type="dxa"/>
          </w:tcPr>
          <w:p w14:paraId="03533963" w14:textId="3F0F654D" w:rsidR="00E22C7D" w:rsidRPr="00601647" w:rsidRDefault="005E1D0E" w:rsidP="00380AD1">
            <w:pPr>
              <w:rPr>
                <w:sz w:val="24"/>
                <w:szCs w:val="24"/>
              </w:rPr>
            </w:pPr>
            <w:r>
              <w:rPr>
                <w:sz w:val="24"/>
                <w:szCs w:val="24"/>
              </w:rPr>
              <w:t>Russell Knight, Wildlife Biologist, GJFO</w:t>
            </w:r>
          </w:p>
        </w:tc>
        <w:tc>
          <w:tcPr>
            <w:tcW w:w="4340" w:type="dxa"/>
          </w:tcPr>
          <w:p w14:paraId="7C47763F" w14:textId="77777777" w:rsidR="005E1D0E" w:rsidRPr="005E1D0E" w:rsidRDefault="005E1D0E" w:rsidP="005E1D0E">
            <w:r w:rsidRPr="005E1D0E">
              <w:t xml:space="preserve">Alternative C allows for increased motorized travel adjacent to the Beehive and Rapid Creek Wildlife Emphasis Areas. These areas prioritize big game winter range and utilize winter closures to motorized and mechanized travel. Increasing the opportunity for motorized travel without seasonal closures on the adjacent forest lands could negatively impact wintering big game during critical times of the year. </w:t>
            </w:r>
          </w:p>
          <w:p w14:paraId="774731DB" w14:textId="77777777" w:rsidR="00E22C7D" w:rsidRPr="00601647" w:rsidRDefault="00E22C7D" w:rsidP="00380AD1">
            <w:pPr>
              <w:rPr>
                <w:sz w:val="24"/>
                <w:szCs w:val="24"/>
              </w:rPr>
            </w:pPr>
          </w:p>
        </w:tc>
        <w:tc>
          <w:tcPr>
            <w:tcW w:w="3055" w:type="dxa"/>
          </w:tcPr>
          <w:p w14:paraId="7D4649C2" w14:textId="0CB2F54D" w:rsidR="00E22C7D" w:rsidRPr="00601647" w:rsidRDefault="00D518AA" w:rsidP="00380AD1">
            <w:pPr>
              <w:rPr>
                <w:sz w:val="24"/>
                <w:szCs w:val="24"/>
              </w:rPr>
            </w:pPr>
            <w:r>
              <w:rPr>
                <w:sz w:val="24"/>
                <w:szCs w:val="24"/>
              </w:rPr>
              <w:t xml:space="preserve">Alternative C would allow for consistent management across the landscape and agency boundaries and would reduce impacts to big game habitat on adjacent public land managed by the BLM. </w:t>
            </w:r>
          </w:p>
        </w:tc>
      </w:tr>
      <w:tr w:rsidR="00E22C7D" w14:paraId="701873E0" w14:textId="0C889031" w:rsidTr="00F7785C">
        <w:tc>
          <w:tcPr>
            <w:tcW w:w="1373" w:type="dxa"/>
          </w:tcPr>
          <w:p w14:paraId="516B0EEB" w14:textId="77777777" w:rsidR="00E22C7D" w:rsidRPr="00601647" w:rsidRDefault="00E22C7D" w:rsidP="00380AD1">
            <w:pPr>
              <w:rPr>
                <w:sz w:val="24"/>
                <w:szCs w:val="24"/>
              </w:rPr>
            </w:pPr>
          </w:p>
        </w:tc>
        <w:tc>
          <w:tcPr>
            <w:tcW w:w="962" w:type="dxa"/>
          </w:tcPr>
          <w:p w14:paraId="49887149" w14:textId="380C782C" w:rsidR="00E22C7D" w:rsidRPr="00601647" w:rsidRDefault="00E22C7D" w:rsidP="00380AD1">
            <w:pPr>
              <w:rPr>
                <w:sz w:val="24"/>
                <w:szCs w:val="24"/>
              </w:rPr>
            </w:pPr>
          </w:p>
        </w:tc>
        <w:tc>
          <w:tcPr>
            <w:tcW w:w="1080" w:type="dxa"/>
          </w:tcPr>
          <w:p w14:paraId="5CDA92A2" w14:textId="77777777" w:rsidR="00E22C7D" w:rsidRPr="00601647" w:rsidRDefault="00E22C7D" w:rsidP="00380AD1">
            <w:pPr>
              <w:rPr>
                <w:sz w:val="24"/>
                <w:szCs w:val="24"/>
              </w:rPr>
            </w:pPr>
          </w:p>
        </w:tc>
        <w:tc>
          <w:tcPr>
            <w:tcW w:w="2140" w:type="dxa"/>
          </w:tcPr>
          <w:p w14:paraId="1C7A2267" w14:textId="1D8D9D5C" w:rsidR="00E22C7D" w:rsidRPr="00601647" w:rsidRDefault="00E22C7D" w:rsidP="00380AD1">
            <w:pPr>
              <w:rPr>
                <w:sz w:val="24"/>
                <w:szCs w:val="24"/>
              </w:rPr>
            </w:pPr>
          </w:p>
        </w:tc>
        <w:tc>
          <w:tcPr>
            <w:tcW w:w="4340" w:type="dxa"/>
          </w:tcPr>
          <w:p w14:paraId="3EFCE094" w14:textId="77777777" w:rsidR="00E22C7D" w:rsidRPr="00601647" w:rsidRDefault="00E22C7D" w:rsidP="00380AD1">
            <w:pPr>
              <w:rPr>
                <w:sz w:val="24"/>
                <w:szCs w:val="24"/>
              </w:rPr>
            </w:pPr>
          </w:p>
        </w:tc>
        <w:tc>
          <w:tcPr>
            <w:tcW w:w="3055" w:type="dxa"/>
          </w:tcPr>
          <w:p w14:paraId="6E104CE3" w14:textId="77777777" w:rsidR="00E22C7D" w:rsidRPr="00601647" w:rsidRDefault="00E22C7D" w:rsidP="00380AD1">
            <w:pPr>
              <w:rPr>
                <w:sz w:val="24"/>
                <w:szCs w:val="24"/>
              </w:rPr>
            </w:pPr>
          </w:p>
        </w:tc>
      </w:tr>
      <w:tr w:rsidR="00E22C7D" w14:paraId="6F56D42E" w14:textId="02629D4D" w:rsidTr="00F7785C">
        <w:tc>
          <w:tcPr>
            <w:tcW w:w="1373" w:type="dxa"/>
          </w:tcPr>
          <w:p w14:paraId="07412B1C" w14:textId="77777777" w:rsidR="00E22C7D" w:rsidRPr="00601647" w:rsidRDefault="00E22C7D" w:rsidP="00380AD1">
            <w:pPr>
              <w:rPr>
                <w:sz w:val="24"/>
                <w:szCs w:val="24"/>
              </w:rPr>
            </w:pPr>
          </w:p>
        </w:tc>
        <w:tc>
          <w:tcPr>
            <w:tcW w:w="962" w:type="dxa"/>
          </w:tcPr>
          <w:p w14:paraId="752241F2" w14:textId="13282C88" w:rsidR="00E22C7D" w:rsidRPr="00601647" w:rsidRDefault="00E22C7D" w:rsidP="00380AD1">
            <w:pPr>
              <w:rPr>
                <w:sz w:val="24"/>
                <w:szCs w:val="24"/>
              </w:rPr>
            </w:pPr>
          </w:p>
        </w:tc>
        <w:tc>
          <w:tcPr>
            <w:tcW w:w="1080" w:type="dxa"/>
          </w:tcPr>
          <w:p w14:paraId="319ECDE0" w14:textId="77777777" w:rsidR="00E22C7D" w:rsidRPr="00601647" w:rsidRDefault="00E22C7D" w:rsidP="00380AD1">
            <w:pPr>
              <w:rPr>
                <w:sz w:val="24"/>
                <w:szCs w:val="24"/>
              </w:rPr>
            </w:pPr>
          </w:p>
        </w:tc>
        <w:tc>
          <w:tcPr>
            <w:tcW w:w="2140" w:type="dxa"/>
          </w:tcPr>
          <w:p w14:paraId="09C228B7" w14:textId="4838443E" w:rsidR="00E22C7D" w:rsidRPr="00601647" w:rsidRDefault="00E22C7D" w:rsidP="00380AD1">
            <w:pPr>
              <w:rPr>
                <w:sz w:val="24"/>
                <w:szCs w:val="24"/>
              </w:rPr>
            </w:pPr>
          </w:p>
        </w:tc>
        <w:tc>
          <w:tcPr>
            <w:tcW w:w="4340" w:type="dxa"/>
          </w:tcPr>
          <w:p w14:paraId="0C8F520C" w14:textId="77777777" w:rsidR="00E22C7D" w:rsidRPr="00601647" w:rsidRDefault="00E22C7D" w:rsidP="00380AD1">
            <w:pPr>
              <w:rPr>
                <w:sz w:val="24"/>
                <w:szCs w:val="24"/>
              </w:rPr>
            </w:pPr>
          </w:p>
        </w:tc>
        <w:tc>
          <w:tcPr>
            <w:tcW w:w="3055" w:type="dxa"/>
          </w:tcPr>
          <w:p w14:paraId="1C3937C4" w14:textId="77777777" w:rsidR="00E22C7D" w:rsidRPr="00601647" w:rsidRDefault="00E22C7D" w:rsidP="00380AD1">
            <w:pPr>
              <w:rPr>
                <w:sz w:val="24"/>
                <w:szCs w:val="24"/>
              </w:rPr>
            </w:pPr>
          </w:p>
        </w:tc>
      </w:tr>
      <w:tr w:rsidR="00E22C7D" w14:paraId="042C618E" w14:textId="5A1D14CC" w:rsidTr="00F7785C">
        <w:tc>
          <w:tcPr>
            <w:tcW w:w="1373" w:type="dxa"/>
          </w:tcPr>
          <w:p w14:paraId="58446E0D" w14:textId="77777777" w:rsidR="00E22C7D" w:rsidRPr="00601647" w:rsidRDefault="00E22C7D" w:rsidP="00380AD1">
            <w:pPr>
              <w:rPr>
                <w:sz w:val="24"/>
                <w:szCs w:val="24"/>
              </w:rPr>
            </w:pPr>
          </w:p>
        </w:tc>
        <w:tc>
          <w:tcPr>
            <w:tcW w:w="962" w:type="dxa"/>
          </w:tcPr>
          <w:p w14:paraId="7116DFEB" w14:textId="6A1F9282" w:rsidR="00E22C7D" w:rsidRPr="00601647" w:rsidRDefault="00E22C7D" w:rsidP="00380AD1">
            <w:pPr>
              <w:rPr>
                <w:sz w:val="24"/>
                <w:szCs w:val="24"/>
              </w:rPr>
            </w:pPr>
          </w:p>
        </w:tc>
        <w:tc>
          <w:tcPr>
            <w:tcW w:w="1080" w:type="dxa"/>
          </w:tcPr>
          <w:p w14:paraId="012A2E34" w14:textId="77777777" w:rsidR="00E22C7D" w:rsidRPr="00601647" w:rsidRDefault="00E22C7D" w:rsidP="00380AD1">
            <w:pPr>
              <w:rPr>
                <w:sz w:val="24"/>
                <w:szCs w:val="24"/>
              </w:rPr>
            </w:pPr>
          </w:p>
        </w:tc>
        <w:tc>
          <w:tcPr>
            <w:tcW w:w="2140" w:type="dxa"/>
          </w:tcPr>
          <w:p w14:paraId="480FFFE4" w14:textId="344CCB90" w:rsidR="00E22C7D" w:rsidRPr="00601647" w:rsidRDefault="00E22C7D" w:rsidP="00380AD1">
            <w:pPr>
              <w:rPr>
                <w:sz w:val="24"/>
                <w:szCs w:val="24"/>
              </w:rPr>
            </w:pPr>
          </w:p>
        </w:tc>
        <w:tc>
          <w:tcPr>
            <w:tcW w:w="4340" w:type="dxa"/>
          </w:tcPr>
          <w:p w14:paraId="325D6BAB" w14:textId="77777777" w:rsidR="00E22C7D" w:rsidRPr="00601647" w:rsidRDefault="00E22C7D" w:rsidP="00380AD1">
            <w:pPr>
              <w:rPr>
                <w:sz w:val="24"/>
                <w:szCs w:val="24"/>
              </w:rPr>
            </w:pPr>
          </w:p>
        </w:tc>
        <w:tc>
          <w:tcPr>
            <w:tcW w:w="3055" w:type="dxa"/>
          </w:tcPr>
          <w:p w14:paraId="28B3C89A" w14:textId="77777777" w:rsidR="00E22C7D" w:rsidRPr="00601647" w:rsidRDefault="00E22C7D" w:rsidP="00380AD1">
            <w:pPr>
              <w:rPr>
                <w:sz w:val="24"/>
                <w:szCs w:val="24"/>
              </w:rPr>
            </w:pPr>
          </w:p>
        </w:tc>
      </w:tr>
      <w:tr w:rsidR="00995F90" w14:paraId="6C94709B" w14:textId="77777777" w:rsidTr="00F7785C">
        <w:tc>
          <w:tcPr>
            <w:tcW w:w="1373" w:type="dxa"/>
          </w:tcPr>
          <w:p w14:paraId="7FD3C3A5" w14:textId="77777777" w:rsidR="00995F90" w:rsidRPr="00601647" w:rsidRDefault="00995F90" w:rsidP="00380AD1">
            <w:pPr>
              <w:rPr>
                <w:sz w:val="24"/>
                <w:szCs w:val="24"/>
              </w:rPr>
            </w:pPr>
          </w:p>
        </w:tc>
        <w:tc>
          <w:tcPr>
            <w:tcW w:w="962" w:type="dxa"/>
          </w:tcPr>
          <w:p w14:paraId="7A058D05" w14:textId="77777777" w:rsidR="00995F90" w:rsidRPr="00601647" w:rsidRDefault="00995F90" w:rsidP="00380AD1">
            <w:pPr>
              <w:rPr>
                <w:sz w:val="24"/>
                <w:szCs w:val="24"/>
              </w:rPr>
            </w:pPr>
          </w:p>
        </w:tc>
        <w:tc>
          <w:tcPr>
            <w:tcW w:w="1080" w:type="dxa"/>
          </w:tcPr>
          <w:p w14:paraId="41FFF13A" w14:textId="77777777" w:rsidR="00995F90" w:rsidRPr="00601647" w:rsidRDefault="00995F90" w:rsidP="00380AD1">
            <w:pPr>
              <w:rPr>
                <w:sz w:val="24"/>
                <w:szCs w:val="24"/>
              </w:rPr>
            </w:pPr>
          </w:p>
        </w:tc>
        <w:tc>
          <w:tcPr>
            <w:tcW w:w="2140" w:type="dxa"/>
          </w:tcPr>
          <w:p w14:paraId="12D61404" w14:textId="77777777" w:rsidR="00995F90" w:rsidRPr="00601647" w:rsidRDefault="00995F90" w:rsidP="00380AD1">
            <w:pPr>
              <w:rPr>
                <w:sz w:val="24"/>
                <w:szCs w:val="24"/>
              </w:rPr>
            </w:pPr>
          </w:p>
        </w:tc>
        <w:tc>
          <w:tcPr>
            <w:tcW w:w="4340" w:type="dxa"/>
          </w:tcPr>
          <w:p w14:paraId="39CA9E0B" w14:textId="77777777" w:rsidR="00995F90" w:rsidRPr="00601647" w:rsidRDefault="00995F90" w:rsidP="00380AD1">
            <w:pPr>
              <w:rPr>
                <w:sz w:val="24"/>
                <w:szCs w:val="24"/>
              </w:rPr>
            </w:pPr>
          </w:p>
        </w:tc>
        <w:tc>
          <w:tcPr>
            <w:tcW w:w="3055" w:type="dxa"/>
          </w:tcPr>
          <w:p w14:paraId="2D1DD581" w14:textId="77777777" w:rsidR="00995F90" w:rsidRPr="00601647" w:rsidRDefault="00995F90" w:rsidP="00380AD1">
            <w:pPr>
              <w:rPr>
                <w:sz w:val="24"/>
                <w:szCs w:val="24"/>
              </w:rPr>
            </w:pPr>
          </w:p>
        </w:tc>
      </w:tr>
      <w:tr w:rsidR="00995F90" w14:paraId="627572FE" w14:textId="77777777" w:rsidTr="00F7785C">
        <w:tc>
          <w:tcPr>
            <w:tcW w:w="1373" w:type="dxa"/>
          </w:tcPr>
          <w:p w14:paraId="15B0D3BC" w14:textId="77777777" w:rsidR="00995F90" w:rsidRPr="00601647" w:rsidRDefault="00995F90" w:rsidP="00380AD1">
            <w:pPr>
              <w:rPr>
                <w:sz w:val="24"/>
                <w:szCs w:val="24"/>
              </w:rPr>
            </w:pPr>
          </w:p>
        </w:tc>
        <w:tc>
          <w:tcPr>
            <w:tcW w:w="962" w:type="dxa"/>
          </w:tcPr>
          <w:p w14:paraId="3BB79CA7" w14:textId="77777777" w:rsidR="00995F90" w:rsidRPr="00601647" w:rsidRDefault="00995F90" w:rsidP="00380AD1">
            <w:pPr>
              <w:rPr>
                <w:sz w:val="24"/>
                <w:szCs w:val="24"/>
              </w:rPr>
            </w:pPr>
          </w:p>
        </w:tc>
        <w:tc>
          <w:tcPr>
            <w:tcW w:w="1080" w:type="dxa"/>
          </w:tcPr>
          <w:p w14:paraId="0E0185D7" w14:textId="77777777" w:rsidR="00995F90" w:rsidRPr="00601647" w:rsidRDefault="00995F90" w:rsidP="00380AD1">
            <w:pPr>
              <w:rPr>
                <w:sz w:val="24"/>
                <w:szCs w:val="24"/>
              </w:rPr>
            </w:pPr>
          </w:p>
        </w:tc>
        <w:tc>
          <w:tcPr>
            <w:tcW w:w="2140" w:type="dxa"/>
          </w:tcPr>
          <w:p w14:paraId="6B785468" w14:textId="77777777" w:rsidR="00995F90" w:rsidRPr="00601647" w:rsidRDefault="00995F90" w:rsidP="00380AD1">
            <w:pPr>
              <w:rPr>
                <w:sz w:val="24"/>
                <w:szCs w:val="24"/>
              </w:rPr>
            </w:pPr>
          </w:p>
        </w:tc>
        <w:tc>
          <w:tcPr>
            <w:tcW w:w="4340" w:type="dxa"/>
          </w:tcPr>
          <w:p w14:paraId="024B08AE" w14:textId="77777777" w:rsidR="00995F90" w:rsidRPr="00601647" w:rsidRDefault="00995F90" w:rsidP="00380AD1">
            <w:pPr>
              <w:rPr>
                <w:sz w:val="24"/>
                <w:szCs w:val="24"/>
              </w:rPr>
            </w:pPr>
          </w:p>
        </w:tc>
        <w:tc>
          <w:tcPr>
            <w:tcW w:w="3055" w:type="dxa"/>
          </w:tcPr>
          <w:p w14:paraId="1398A819" w14:textId="77777777" w:rsidR="00995F90" w:rsidRPr="00601647" w:rsidRDefault="00995F90" w:rsidP="00380AD1">
            <w:pPr>
              <w:rPr>
                <w:sz w:val="24"/>
                <w:szCs w:val="24"/>
              </w:rPr>
            </w:pPr>
          </w:p>
        </w:tc>
      </w:tr>
      <w:tr w:rsidR="00995F90" w14:paraId="59989252" w14:textId="77777777" w:rsidTr="00F7785C">
        <w:tc>
          <w:tcPr>
            <w:tcW w:w="1373" w:type="dxa"/>
          </w:tcPr>
          <w:p w14:paraId="4EC955AF" w14:textId="77777777" w:rsidR="00995F90" w:rsidRPr="00601647" w:rsidRDefault="00995F90" w:rsidP="00380AD1">
            <w:pPr>
              <w:rPr>
                <w:sz w:val="24"/>
                <w:szCs w:val="24"/>
              </w:rPr>
            </w:pPr>
          </w:p>
        </w:tc>
        <w:tc>
          <w:tcPr>
            <w:tcW w:w="962" w:type="dxa"/>
          </w:tcPr>
          <w:p w14:paraId="1CE90B7E" w14:textId="77777777" w:rsidR="00995F90" w:rsidRPr="00601647" w:rsidRDefault="00995F90" w:rsidP="00380AD1">
            <w:pPr>
              <w:rPr>
                <w:sz w:val="24"/>
                <w:szCs w:val="24"/>
              </w:rPr>
            </w:pPr>
          </w:p>
        </w:tc>
        <w:tc>
          <w:tcPr>
            <w:tcW w:w="1080" w:type="dxa"/>
          </w:tcPr>
          <w:p w14:paraId="336AB059" w14:textId="77777777" w:rsidR="00995F90" w:rsidRPr="00601647" w:rsidRDefault="00995F90" w:rsidP="00380AD1">
            <w:pPr>
              <w:rPr>
                <w:sz w:val="24"/>
                <w:szCs w:val="24"/>
              </w:rPr>
            </w:pPr>
          </w:p>
        </w:tc>
        <w:tc>
          <w:tcPr>
            <w:tcW w:w="2140" w:type="dxa"/>
          </w:tcPr>
          <w:p w14:paraId="1EFC1C6D" w14:textId="77777777" w:rsidR="00995F90" w:rsidRPr="00601647" w:rsidRDefault="00995F90" w:rsidP="00380AD1">
            <w:pPr>
              <w:rPr>
                <w:sz w:val="24"/>
                <w:szCs w:val="24"/>
              </w:rPr>
            </w:pPr>
          </w:p>
        </w:tc>
        <w:tc>
          <w:tcPr>
            <w:tcW w:w="4340" w:type="dxa"/>
          </w:tcPr>
          <w:p w14:paraId="48DB501F" w14:textId="77777777" w:rsidR="00995F90" w:rsidRPr="00601647" w:rsidRDefault="00995F90" w:rsidP="00380AD1">
            <w:pPr>
              <w:rPr>
                <w:sz w:val="24"/>
                <w:szCs w:val="24"/>
              </w:rPr>
            </w:pPr>
          </w:p>
        </w:tc>
        <w:tc>
          <w:tcPr>
            <w:tcW w:w="3055" w:type="dxa"/>
          </w:tcPr>
          <w:p w14:paraId="209D9CE4" w14:textId="77777777" w:rsidR="00995F90" w:rsidRPr="00601647" w:rsidRDefault="00995F90" w:rsidP="00380AD1">
            <w:pPr>
              <w:rPr>
                <w:sz w:val="24"/>
                <w:szCs w:val="24"/>
              </w:rPr>
            </w:pPr>
          </w:p>
        </w:tc>
      </w:tr>
      <w:tr w:rsidR="00995F90" w14:paraId="4AAEDE93" w14:textId="77777777" w:rsidTr="00F7785C">
        <w:tc>
          <w:tcPr>
            <w:tcW w:w="1373" w:type="dxa"/>
          </w:tcPr>
          <w:p w14:paraId="4D32362B" w14:textId="77777777" w:rsidR="00995F90" w:rsidRPr="00601647" w:rsidRDefault="00995F90" w:rsidP="00380AD1">
            <w:pPr>
              <w:rPr>
                <w:sz w:val="24"/>
                <w:szCs w:val="24"/>
              </w:rPr>
            </w:pPr>
          </w:p>
        </w:tc>
        <w:tc>
          <w:tcPr>
            <w:tcW w:w="962" w:type="dxa"/>
          </w:tcPr>
          <w:p w14:paraId="1A54FC6B" w14:textId="77777777" w:rsidR="00995F90" w:rsidRPr="00601647" w:rsidRDefault="00995F90" w:rsidP="00380AD1">
            <w:pPr>
              <w:rPr>
                <w:sz w:val="24"/>
                <w:szCs w:val="24"/>
              </w:rPr>
            </w:pPr>
          </w:p>
        </w:tc>
        <w:tc>
          <w:tcPr>
            <w:tcW w:w="1080" w:type="dxa"/>
          </w:tcPr>
          <w:p w14:paraId="496464D2" w14:textId="77777777" w:rsidR="00995F90" w:rsidRPr="00601647" w:rsidRDefault="00995F90" w:rsidP="00380AD1">
            <w:pPr>
              <w:rPr>
                <w:sz w:val="24"/>
                <w:szCs w:val="24"/>
              </w:rPr>
            </w:pPr>
          </w:p>
        </w:tc>
        <w:tc>
          <w:tcPr>
            <w:tcW w:w="2140" w:type="dxa"/>
          </w:tcPr>
          <w:p w14:paraId="2B7C9EDD" w14:textId="77777777" w:rsidR="00995F90" w:rsidRPr="00601647" w:rsidRDefault="00995F90" w:rsidP="00380AD1">
            <w:pPr>
              <w:rPr>
                <w:sz w:val="24"/>
                <w:szCs w:val="24"/>
              </w:rPr>
            </w:pPr>
          </w:p>
        </w:tc>
        <w:tc>
          <w:tcPr>
            <w:tcW w:w="4340" w:type="dxa"/>
          </w:tcPr>
          <w:p w14:paraId="66E73E34" w14:textId="77777777" w:rsidR="00995F90" w:rsidRPr="00601647" w:rsidRDefault="00995F90" w:rsidP="00380AD1">
            <w:pPr>
              <w:rPr>
                <w:sz w:val="24"/>
                <w:szCs w:val="24"/>
              </w:rPr>
            </w:pPr>
          </w:p>
        </w:tc>
        <w:tc>
          <w:tcPr>
            <w:tcW w:w="3055" w:type="dxa"/>
          </w:tcPr>
          <w:p w14:paraId="504A3A64" w14:textId="77777777" w:rsidR="00995F90" w:rsidRPr="00601647" w:rsidRDefault="00995F90" w:rsidP="00380AD1">
            <w:pPr>
              <w:rPr>
                <w:sz w:val="24"/>
                <w:szCs w:val="24"/>
              </w:rPr>
            </w:pPr>
          </w:p>
        </w:tc>
      </w:tr>
      <w:tr w:rsidR="00995F90" w14:paraId="649807D9" w14:textId="77777777" w:rsidTr="00F7785C">
        <w:tc>
          <w:tcPr>
            <w:tcW w:w="1373" w:type="dxa"/>
          </w:tcPr>
          <w:p w14:paraId="319D9BD9" w14:textId="77777777" w:rsidR="00995F90" w:rsidRPr="00601647" w:rsidRDefault="00995F90" w:rsidP="00380AD1">
            <w:pPr>
              <w:rPr>
                <w:sz w:val="24"/>
                <w:szCs w:val="24"/>
              </w:rPr>
            </w:pPr>
          </w:p>
        </w:tc>
        <w:tc>
          <w:tcPr>
            <w:tcW w:w="962" w:type="dxa"/>
          </w:tcPr>
          <w:p w14:paraId="0670A3A2" w14:textId="77777777" w:rsidR="00995F90" w:rsidRPr="00601647" w:rsidRDefault="00995F90" w:rsidP="00380AD1">
            <w:pPr>
              <w:rPr>
                <w:sz w:val="24"/>
                <w:szCs w:val="24"/>
              </w:rPr>
            </w:pPr>
          </w:p>
        </w:tc>
        <w:tc>
          <w:tcPr>
            <w:tcW w:w="1080" w:type="dxa"/>
          </w:tcPr>
          <w:p w14:paraId="2A42427D" w14:textId="77777777" w:rsidR="00995F90" w:rsidRPr="00601647" w:rsidRDefault="00995F90" w:rsidP="00380AD1">
            <w:pPr>
              <w:rPr>
                <w:sz w:val="24"/>
                <w:szCs w:val="24"/>
              </w:rPr>
            </w:pPr>
          </w:p>
        </w:tc>
        <w:tc>
          <w:tcPr>
            <w:tcW w:w="2140" w:type="dxa"/>
          </w:tcPr>
          <w:p w14:paraId="4AFD7792" w14:textId="77777777" w:rsidR="00995F90" w:rsidRPr="00601647" w:rsidRDefault="00995F90" w:rsidP="00380AD1">
            <w:pPr>
              <w:rPr>
                <w:sz w:val="24"/>
                <w:szCs w:val="24"/>
              </w:rPr>
            </w:pPr>
          </w:p>
        </w:tc>
        <w:tc>
          <w:tcPr>
            <w:tcW w:w="4340" w:type="dxa"/>
          </w:tcPr>
          <w:p w14:paraId="78E104C9" w14:textId="77777777" w:rsidR="00995F90" w:rsidRPr="00601647" w:rsidRDefault="00995F90" w:rsidP="00380AD1">
            <w:pPr>
              <w:rPr>
                <w:sz w:val="24"/>
                <w:szCs w:val="24"/>
              </w:rPr>
            </w:pPr>
          </w:p>
        </w:tc>
        <w:tc>
          <w:tcPr>
            <w:tcW w:w="3055" w:type="dxa"/>
          </w:tcPr>
          <w:p w14:paraId="6B8190AC" w14:textId="77777777" w:rsidR="00995F90" w:rsidRPr="00601647" w:rsidRDefault="00995F90" w:rsidP="00380AD1">
            <w:pPr>
              <w:rPr>
                <w:sz w:val="24"/>
                <w:szCs w:val="24"/>
              </w:rPr>
            </w:pPr>
          </w:p>
        </w:tc>
      </w:tr>
      <w:tr w:rsidR="00E22C7D" w14:paraId="60917858" w14:textId="14238467" w:rsidTr="00F7785C">
        <w:tc>
          <w:tcPr>
            <w:tcW w:w="1373" w:type="dxa"/>
          </w:tcPr>
          <w:p w14:paraId="0764785C" w14:textId="77777777" w:rsidR="00E22C7D" w:rsidRPr="00601647" w:rsidRDefault="00E22C7D" w:rsidP="00380AD1">
            <w:pPr>
              <w:rPr>
                <w:sz w:val="24"/>
                <w:szCs w:val="24"/>
              </w:rPr>
            </w:pPr>
          </w:p>
        </w:tc>
        <w:tc>
          <w:tcPr>
            <w:tcW w:w="962" w:type="dxa"/>
          </w:tcPr>
          <w:p w14:paraId="35A73870" w14:textId="543EC6FB" w:rsidR="00E22C7D" w:rsidRPr="00601647" w:rsidRDefault="00E22C7D" w:rsidP="00380AD1">
            <w:pPr>
              <w:rPr>
                <w:sz w:val="24"/>
                <w:szCs w:val="24"/>
              </w:rPr>
            </w:pPr>
          </w:p>
        </w:tc>
        <w:tc>
          <w:tcPr>
            <w:tcW w:w="1080" w:type="dxa"/>
          </w:tcPr>
          <w:p w14:paraId="5E3A95F7" w14:textId="77777777" w:rsidR="00E22C7D" w:rsidRPr="00601647" w:rsidRDefault="00E22C7D" w:rsidP="00380AD1">
            <w:pPr>
              <w:rPr>
                <w:sz w:val="24"/>
                <w:szCs w:val="24"/>
              </w:rPr>
            </w:pPr>
          </w:p>
        </w:tc>
        <w:tc>
          <w:tcPr>
            <w:tcW w:w="2140" w:type="dxa"/>
          </w:tcPr>
          <w:p w14:paraId="1815BA48" w14:textId="4A3B4107" w:rsidR="00E22C7D" w:rsidRPr="00601647" w:rsidRDefault="00E22C7D" w:rsidP="00380AD1">
            <w:pPr>
              <w:rPr>
                <w:sz w:val="24"/>
                <w:szCs w:val="24"/>
              </w:rPr>
            </w:pPr>
          </w:p>
        </w:tc>
        <w:tc>
          <w:tcPr>
            <w:tcW w:w="4340" w:type="dxa"/>
          </w:tcPr>
          <w:p w14:paraId="35D372E4" w14:textId="77777777" w:rsidR="00E22C7D" w:rsidRPr="00601647" w:rsidRDefault="00E22C7D" w:rsidP="00380AD1">
            <w:pPr>
              <w:rPr>
                <w:sz w:val="24"/>
                <w:szCs w:val="24"/>
              </w:rPr>
            </w:pPr>
          </w:p>
        </w:tc>
        <w:tc>
          <w:tcPr>
            <w:tcW w:w="3055" w:type="dxa"/>
          </w:tcPr>
          <w:p w14:paraId="319B2FB2" w14:textId="77777777" w:rsidR="00E22C7D" w:rsidRPr="00601647" w:rsidRDefault="00E22C7D" w:rsidP="00380AD1">
            <w:pPr>
              <w:rPr>
                <w:sz w:val="24"/>
                <w:szCs w:val="24"/>
              </w:rPr>
            </w:pPr>
          </w:p>
        </w:tc>
      </w:tr>
      <w:tr w:rsidR="00E22C7D" w14:paraId="5832B353" w14:textId="2981960F" w:rsidTr="00F7785C">
        <w:tc>
          <w:tcPr>
            <w:tcW w:w="1373" w:type="dxa"/>
          </w:tcPr>
          <w:p w14:paraId="62AE0460" w14:textId="77777777" w:rsidR="00E22C7D" w:rsidRPr="00601647" w:rsidRDefault="00E22C7D" w:rsidP="00380AD1">
            <w:pPr>
              <w:rPr>
                <w:sz w:val="24"/>
                <w:szCs w:val="24"/>
              </w:rPr>
            </w:pPr>
          </w:p>
        </w:tc>
        <w:tc>
          <w:tcPr>
            <w:tcW w:w="962" w:type="dxa"/>
          </w:tcPr>
          <w:p w14:paraId="47C2BE21" w14:textId="346A077D" w:rsidR="00E22C7D" w:rsidRPr="00601647" w:rsidRDefault="00E22C7D" w:rsidP="00380AD1">
            <w:pPr>
              <w:rPr>
                <w:sz w:val="24"/>
                <w:szCs w:val="24"/>
              </w:rPr>
            </w:pPr>
          </w:p>
        </w:tc>
        <w:tc>
          <w:tcPr>
            <w:tcW w:w="1080" w:type="dxa"/>
          </w:tcPr>
          <w:p w14:paraId="4AD16FEB" w14:textId="77777777" w:rsidR="00E22C7D" w:rsidRPr="00601647" w:rsidRDefault="00E22C7D" w:rsidP="00380AD1">
            <w:pPr>
              <w:rPr>
                <w:sz w:val="24"/>
                <w:szCs w:val="24"/>
              </w:rPr>
            </w:pPr>
          </w:p>
        </w:tc>
        <w:tc>
          <w:tcPr>
            <w:tcW w:w="2140" w:type="dxa"/>
          </w:tcPr>
          <w:p w14:paraId="2B5FABB6" w14:textId="089803AB" w:rsidR="00E22C7D" w:rsidRPr="00601647" w:rsidRDefault="00E22C7D" w:rsidP="00380AD1">
            <w:pPr>
              <w:rPr>
                <w:sz w:val="24"/>
                <w:szCs w:val="24"/>
              </w:rPr>
            </w:pPr>
          </w:p>
        </w:tc>
        <w:tc>
          <w:tcPr>
            <w:tcW w:w="4340" w:type="dxa"/>
          </w:tcPr>
          <w:p w14:paraId="7784C612" w14:textId="77777777" w:rsidR="00E22C7D" w:rsidRPr="00601647" w:rsidRDefault="00E22C7D" w:rsidP="00380AD1">
            <w:pPr>
              <w:rPr>
                <w:sz w:val="24"/>
                <w:szCs w:val="24"/>
              </w:rPr>
            </w:pPr>
          </w:p>
        </w:tc>
        <w:tc>
          <w:tcPr>
            <w:tcW w:w="3055" w:type="dxa"/>
          </w:tcPr>
          <w:p w14:paraId="6B66817B" w14:textId="77777777" w:rsidR="00E22C7D" w:rsidRPr="00601647" w:rsidRDefault="00E22C7D" w:rsidP="00380AD1">
            <w:pPr>
              <w:rPr>
                <w:sz w:val="24"/>
                <w:szCs w:val="24"/>
              </w:rPr>
            </w:pPr>
          </w:p>
        </w:tc>
      </w:tr>
      <w:tr w:rsidR="00995F90" w14:paraId="750C1F60" w14:textId="77777777" w:rsidTr="00F7785C">
        <w:tc>
          <w:tcPr>
            <w:tcW w:w="1373" w:type="dxa"/>
          </w:tcPr>
          <w:p w14:paraId="5AEC4602" w14:textId="77777777" w:rsidR="00995F90" w:rsidRPr="00601647" w:rsidRDefault="00995F90" w:rsidP="00380AD1">
            <w:pPr>
              <w:rPr>
                <w:sz w:val="24"/>
                <w:szCs w:val="24"/>
              </w:rPr>
            </w:pPr>
          </w:p>
        </w:tc>
        <w:tc>
          <w:tcPr>
            <w:tcW w:w="962" w:type="dxa"/>
          </w:tcPr>
          <w:p w14:paraId="354692C5" w14:textId="77777777" w:rsidR="00995F90" w:rsidRPr="00601647" w:rsidRDefault="00995F90" w:rsidP="00380AD1">
            <w:pPr>
              <w:rPr>
                <w:sz w:val="24"/>
                <w:szCs w:val="24"/>
              </w:rPr>
            </w:pPr>
          </w:p>
        </w:tc>
        <w:tc>
          <w:tcPr>
            <w:tcW w:w="1080" w:type="dxa"/>
          </w:tcPr>
          <w:p w14:paraId="6F795373" w14:textId="77777777" w:rsidR="00995F90" w:rsidRPr="00601647" w:rsidRDefault="00995F90" w:rsidP="00380AD1">
            <w:pPr>
              <w:rPr>
                <w:sz w:val="24"/>
                <w:szCs w:val="24"/>
              </w:rPr>
            </w:pPr>
          </w:p>
        </w:tc>
        <w:tc>
          <w:tcPr>
            <w:tcW w:w="2140" w:type="dxa"/>
          </w:tcPr>
          <w:p w14:paraId="1C835259" w14:textId="77777777" w:rsidR="00995F90" w:rsidRPr="00601647" w:rsidRDefault="00995F90" w:rsidP="00380AD1">
            <w:pPr>
              <w:rPr>
                <w:sz w:val="24"/>
                <w:szCs w:val="24"/>
              </w:rPr>
            </w:pPr>
          </w:p>
        </w:tc>
        <w:tc>
          <w:tcPr>
            <w:tcW w:w="4340" w:type="dxa"/>
          </w:tcPr>
          <w:p w14:paraId="74FAE5A3" w14:textId="77777777" w:rsidR="00995F90" w:rsidRPr="00601647" w:rsidRDefault="00995F90" w:rsidP="00380AD1">
            <w:pPr>
              <w:rPr>
                <w:sz w:val="24"/>
                <w:szCs w:val="24"/>
              </w:rPr>
            </w:pPr>
          </w:p>
        </w:tc>
        <w:tc>
          <w:tcPr>
            <w:tcW w:w="3055" w:type="dxa"/>
          </w:tcPr>
          <w:p w14:paraId="58489F17" w14:textId="77777777" w:rsidR="00995F90" w:rsidRPr="00601647" w:rsidRDefault="00995F90" w:rsidP="00380AD1">
            <w:pPr>
              <w:rPr>
                <w:sz w:val="24"/>
                <w:szCs w:val="24"/>
              </w:rPr>
            </w:pPr>
          </w:p>
        </w:tc>
      </w:tr>
      <w:tr w:rsidR="00995F90" w14:paraId="37916F48" w14:textId="77777777" w:rsidTr="00F7785C">
        <w:tc>
          <w:tcPr>
            <w:tcW w:w="1373" w:type="dxa"/>
          </w:tcPr>
          <w:p w14:paraId="6D1CA6E6" w14:textId="77777777" w:rsidR="00995F90" w:rsidRPr="00601647" w:rsidRDefault="00995F90" w:rsidP="00380AD1">
            <w:pPr>
              <w:rPr>
                <w:sz w:val="24"/>
                <w:szCs w:val="24"/>
              </w:rPr>
            </w:pPr>
          </w:p>
        </w:tc>
        <w:tc>
          <w:tcPr>
            <w:tcW w:w="962" w:type="dxa"/>
          </w:tcPr>
          <w:p w14:paraId="7F3BBDA9" w14:textId="77777777" w:rsidR="00995F90" w:rsidRPr="00601647" w:rsidRDefault="00995F90" w:rsidP="00380AD1">
            <w:pPr>
              <w:rPr>
                <w:sz w:val="24"/>
                <w:szCs w:val="24"/>
              </w:rPr>
            </w:pPr>
          </w:p>
        </w:tc>
        <w:tc>
          <w:tcPr>
            <w:tcW w:w="1080" w:type="dxa"/>
          </w:tcPr>
          <w:p w14:paraId="31E80331" w14:textId="77777777" w:rsidR="00995F90" w:rsidRPr="00601647" w:rsidRDefault="00995F90" w:rsidP="00380AD1">
            <w:pPr>
              <w:rPr>
                <w:sz w:val="24"/>
                <w:szCs w:val="24"/>
              </w:rPr>
            </w:pPr>
          </w:p>
        </w:tc>
        <w:tc>
          <w:tcPr>
            <w:tcW w:w="2140" w:type="dxa"/>
          </w:tcPr>
          <w:p w14:paraId="2CCF3FF3" w14:textId="77777777" w:rsidR="00995F90" w:rsidRPr="00601647" w:rsidRDefault="00995F90" w:rsidP="00380AD1">
            <w:pPr>
              <w:rPr>
                <w:sz w:val="24"/>
                <w:szCs w:val="24"/>
              </w:rPr>
            </w:pPr>
          </w:p>
        </w:tc>
        <w:tc>
          <w:tcPr>
            <w:tcW w:w="4340" w:type="dxa"/>
          </w:tcPr>
          <w:p w14:paraId="25D51C41" w14:textId="77777777" w:rsidR="00995F90" w:rsidRPr="00601647" w:rsidRDefault="00995F90" w:rsidP="00380AD1">
            <w:pPr>
              <w:rPr>
                <w:sz w:val="24"/>
                <w:szCs w:val="24"/>
              </w:rPr>
            </w:pPr>
          </w:p>
        </w:tc>
        <w:tc>
          <w:tcPr>
            <w:tcW w:w="3055" w:type="dxa"/>
          </w:tcPr>
          <w:p w14:paraId="7BA9AE52" w14:textId="77777777" w:rsidR="00995F90" w:rsidRPr="00601647" w:rsidRDefault="00995F90" w:rsidP="00380AD1">
            <w:pPr>
              <w:rPr>
                <w:sz w:val="24"/>
                <w:szCs w:val="24"/>
              </w:rPr>
            </w:pPr>
          </w:p>
        </w:tc>
      </w:tr>
      <w:tr w:rsidR="00995F90" w14:paraId="19B76D64" w14:textId="77777777" w:rsidTr="00F7785C">
        <w:tc>
          <w:tcPr>
            <w:tcW w:w="1373" w:type="dxa"/>
          </w:tcPr>
          <w:p w14:paraId="616701C9" w14:textId="77777777" w:rsidR="00995F90" w:rsidRPr="00601647" w:rsidRDefault="00995F90" w:rsidP="00380AD1">
            <w:pPr>
              <w:rPr>
                <w:sz w:val="24"/>
                <w:szCs w:val="24"/>
              </w:rPr>
            </w:pPr>
          </w:p>
        </w:tc>
        <w:tc>
          <w:tcPr>
            <w:tcW w:w="962" w:type="dxa"/>
          </w:tcPr>
          <w:p w14:paraId="47BC53AF" w14:textId="77777777" w:rsidR="00995F90" w:rsidRPr="00601647" w:rsidRDefault="00995F90" w:rsidP="00380AD1">
            <w:pPr>
              <w:rPr>
                <w:sz w:val="24"/>
                <w:szCs w:val="24"/>
              </w:rPr>
            </w:pPr>
          </w:p>
        </w:tc>
        <w:tc>
          <w:tcPr>
            <w:tcW w:w="1080" w:type="dxa"/>
          </w:tcPr>
          <w:p w14:paraId="1EE34E59" w14:textId="77777777" w:rsidR="00995F90" w:rsidRPr="00601647" w:rsidRDefault="00995F90" w:rsidP="00380AD1">
            <w:pPr>
              <w:rPr>
                <w:sz w:val="24"/>
                <w:szCs w:val="24"/>
              </w:rPr>
            </w:pPr>
          </w:p>
        </w:tc>
        <w:tc>
          <w:tcPr>
            <w:tcW w:w="2140" w:type="dxa"/>
          </w:tcPr>
          <w:p w14:paraId="114163C8" w14:textId="77777777" w:rsidR="00995F90" w:rsidRPr="00601647" w:rsidRDefault="00995F90" w:rsidP="00380AD1">
            <w:pPr>
              <w:rPr>
                <w:sz w:val="24"/>
                <w:szCs w:val="24"/>
              </w:rPr>
            </w:pPr>
          </w:p>
        </w:tc>
        <w:tc>
          <w:tcPr>
            <w:tcW w:w="4340" w:type="dxa"/>
          </w:tcPr>
          <w:p w14:paraId="149DB305" w14:textId="77777777" w:rsidR="00995F90" w:rsidRPr="00601647" w:rsidRDefault="00995F90" w:rsidP="00380AD1">
            <w:pPr>
              <w:rPr>
                <w:sz w:val="24"/>
                <w:szCs w:val="24"/>
              </w:rPr>
            </w:pPr>
          </w:p>
        </w:tc>
        <w:tc>
          <w:tcPr>
            <w:tcW w:w="3055" w:type="dxa"/>
          </w:tcPr>
          <w:p w14:paraId="00E9859C" w14:textId="77777777" w:rsidR="00995F90" w:rsidRPr="00601647" w:rsidRDefault="00995F90" w:rsidP="00380AD1">
            <w:pPr>
              <w:rPr>
                <w:sz w:val="24"/>
                <w:szCs w:val="24"/>
              </w:rPr>
            </w:pPr>
          </w:p>
        </w:tc>
      </w:tr>
      <w:tr w:rsidR="00995F90" w14:paraId="613F9F34" w14:textId="77777777" w:rsidTr="00F7785C">
        <w:tc>
          <w:tcPr>
            <w:tcW w:w="1373" w:type="dxa"/>
          </w:tcPr>
          <w:p w14:paraId="2CEC6641" w14:textId="77777777" w:rsidR="00995F90" w:rsidRPr="00601647" w:rsidRDefault="00995F90" w:rsidP="00380AD1">
            <w:pPr>
              <w:rPr>
                <w:sz w:val="24"/>
                <w:szCs w:val="24"/>
              </w:rPr>
            </w:pPr>
          </w:p>
        </w:tc>
        <w:tc>
          <w:tcPr>
            <w:tcW w:w="962" w:type="dxa"/>
          </w:tcPr>
          <w:p w14:paraId="041B9130" w14:textId="77777777" w:rsidR="00995F90" w:rsidRPr="00601647" w:rsidRDefault="00995F90" w:rsidP="00380AD1">
            <w:pPr>
              <w:rPr>
                <w:sz w:val="24"/>
                <w:szCs w:val="24"/>
              </w:rPr>
            </w:pPr>
          </w:p>
        </w:tc>
        <w:tc>
          <w:tcPr>
            <w:tcW w:w="1080" w:type="dxa"/>
          </w:tcPr>
          <w:p w14:paraId="309D97CC" w14:textId="77777777" w:rsidR="00995F90" w:rsidRPr="00601647" w:rsidRDefault="00995F90" w:rsidP="00380AD1">
            <w:pPr>
              <w:rPr>
                <w:sz w:val="24"/>
                <w:szCs w:val="24"/>
              </w:rPr>
            </w:pPr>
          </w:p>
        </w:tc>
        <w:tc>
          <w:tcPr>
            <w:tcW w:w="2140" w:type="dxa"/>
          </w:tcPr>
          <w:p w14:paraId="28D53588" w14:textId="77777777" w:rsidR="00995F90" w:rsidRPr="00601647" w:rsidRDefault="00995F90" w:rsidP="00380AD1">
            <w:pPr>
              <w:rPr>
                <w:sz w:val="24"/>
                <w:szCs w:val="24"/>
              </w:rPr>
            </w:pPr>
          </w:p>
        </w:tc>
        <w:tc>
          <w:tcPr>
            <w:tcW w:w="4340" w:type="dxa"/>
          </w:tcPr>
          <w:p w14:paraId="16735805" w14:textId="77777777" w:rsidR="00995F90" w:rsidRPr="00601647" w:rsidRDefault="00995F90" w:rsidP="00380AD1">
            <w:pPr>
              <w:rPr>
                <w:sz w:val="24"/>
                <w:szCs w:val="24"/>
              </w:rPr>
            </w:pPr>
          </w:p>
        </w:tc>
        <w:tc>
          <w:tcPr>
            <w:tcW w:w="3055" w:type="dxa"/>
          </w:tcPr>
          <w:p w14:paraId="62047D16" w14:textId="77777777" w:rsidR="00995F90" w:rsidRPr="00601647" w:rsidRDefault="00995F90" w:rsidP="00380AD1">
            <w:pPr>
              <w:rPr>
                <w:sz w:val="24"/>
                <w:szCs w:val="24"/>
              </w:rPr>
            </w:pPr>
          </w:p>
        </w:tc>
      </w:tr>
      <w:tr w:rsidR="00995F90" w14:paraId="7A57C163" w14:textId="77777777" w:rsidTr="00F7785C">
        <w:tc>
          <w:tcPr>
            <w:tcW w:w="1373" w:type="dxa"/>
          </w:tcPr>
          <w:p w14:paraId="60CB66C1" w14:textId="77777777" w:rsidR="00995F90" w:rsidRPr="00601647" w:rsidRDefault="00995F90" w:rsidP="00380AD1">
            <w:pPr>
              <w:rPr>
                <w:sz w:val="24"/>
                <w:szCs w:val="24"/>
              </w:rPr>
            </w:pPr>
          </w:p>
        </w:tc>
        <w:tc>
          <w:tcPr>
            <w:tcW w:w="962" w:type="dxa"/>
          </w:tcPr>
          <w:p w14:paraId="7631E449" w14:textId="77777777" w:rsidR="00995F90" w:rsidRPr="00601647" w:rsidRDefault="00995F90" w:rsidP="00380AD1">
            <w:pPr>
              <w:rPr>
                <w:sz w:val="24"/>
                <w:szCs w:val="24"/>
              </w:rPr>
            </w:pPr>
          </w:p>
        </w:tc>
        <w:tc>
          <w:tcPr>
            <w:tcW w:w="1080" w:type="dxa"/>
          </w:tcPr>
          <w:p w14:paraId="730FAD1E" w14:textId="77777777" w:rsidR="00995F90" w:rsidRPr="00601647" w:rsidRDefault="00995F90" w:rsidP="00380AD1">
            <w:pPr>
              <w:rPr>
                <w:sz w:val="24"/>
                <w:szCs w:val="24"/>
              </w:rPr>
            </w:pPr>
          </w:p>
        </w:tc>
        <w:tc>
          <w:tcPr>
            <w:tcW w:w="2140" w:type="dxa"/>
          </w:tcPr>
          <w:p w14:paraId="3B71479E" w14:textId="77777777" w:rsidR="00995F90" w:rsidRPr="00601647" w:rsidRDefault="00995F90" w:rsidP="00380AD1">
            <w:pPr>
              <w:rPr>
                <w:sz w:val="24"/>
                <w:szCs w:val="24"/>
              </w:rPr>
            </w:pPr>
          </w:p>
        </w:tc>
        <w:tc>
          <w:tcPr>
            <w:tcW w:w="4340" w:type="dxa"/>
          </w:tcPr>
          <w:p w14:paraId="03D54BA6" w14:textId="77777777" w:rsidR="00995F90" w:rsidRPr="00601647" w:rsidRDefault="00995F90" w:rsidP="00380AD1">
            <w:pPr>
              <w:rPr>
                <w:sz w:val="24"/>
                <w:szCs w:val="24"/>
              </w:rPr>
            </w:pPr>
          </w:p>
        </w:tc>
        <w:tc>
          <w:tcPr>
            <w:tcW w:w="3055" w:type="dxa"/>
          </w:tcPr>
          <w:p w14:paraId="28C3CB37" w14:textId="77777777" w:rsidR="00995F90" w:rsidRPr="00601647" w:rsidRDefault="00995F90" w:rsidP="00380AD1">
            <w:pPr>
              <w:rPr>
                <w:sz w:val="24"/>
                <w:szCs w:val="24"/>
              </w:rPr>
            </w:pPr>
          </w:p>
        </w:tc>
      </w:tr>
      <w:tr w:rsidR="00995F90" w14:paraId="34850B08" w14:textId="77777777" w:rsidTr="00F7785C">
        <w:tc>
          <w:tcPr>
            <w:tcW w:w="1373" w:type="dxa"/>
          </w:tcPr>
          <w:p w14:paraId="13A2ECF3" w14:textId="77777777" w:rsidR="00995F90" w:rsidRPr="00601647" w:rsidRDefault="00995F90" w:rsidP="00380AD1">
            <w:pPr>
              <w:rPr>
                <w:sz w:val="24"/>
                <w:szCs w:val="24"/>
              </w:rPr>
            </w:pPr>
          </w:p>
        </w:tc>
        <w:tc>
          <w:tcPr>
            <w:tcW w:w="962" w:type="dxa"/>
          </w:tcPr>
          <w:p w14:paraId="6C68F506" w14:textId="77777777" w:rsidR="00995F90" w:rsidRPr="00601647" w:rsidRDefault="00995F90" w:rsidP="00380AD1">
            <w:pPr>
              <w:rPr>
                <w:sz w:val="24"/>
                <w:szCs w:val="24"/>
              </w:rPr>
            </w:pPr>
          </w:p>
        </w:tc>
        <w:tc>
          <w:tcPr>
            <w:tcW w:w="1080" w:type="dxa"/>
          </w:tcPr>
          <w:p w14:paraId="118CE3B7" w14:textId="77777777" w:rsidR="00995F90" w:rsidRPr="00601647" w:rsidRDefault="00995F90" w:rsidP="00380AD1">
            <w:pPr>
              <w:rPr>
                <w:sz w:val="24"/>
                <w:szCs w:val="24"/>
              </w:rPr>
            </w:pPr>
          </w:p>
        </w:tc>
        <w:tc>
          <w:tcPr>
            <w:tcW w:w="2140" w:type="dxa"/>
          </w:tcPr>
          <w:p w14:paraId="650892C2" w14:textId="77777777" w:rsidR="00995F90" w:rsidRPr="00601647" w:rsidRDefault="00995F90" w:rsidP="00380AD1">
            <w:pPr>
              <w:rPr>
                <w:sz w:val="24"/>
                <w:szCs w:val="24"/>
              </w:rPr>
            </w:pPr>
          </w:p>
        </w:tc>
        <w:tc>
          <w:tcPr>
            <w:tcW w:w="4340" w:type="dxa"/>
          </w:tcPr>
          <w:p w14:paraId="14F30DEC" w14:textId="77777777" w:rsidR="00995F90" w:rsidRPr="00601647" w:rsidRDefault="00995F90" w:rsidP="00380AD1">
            <w:pPr>
              <w:rPr>
                <w:sz w:val="24"/>
                <w:szCs w:val="24"/>
              </w:rPr>
            </w:pPr>
          </w:p>
        </w:tc>
        <w:tc>
          <w:tcPr>
            <w:tcW w:w="3055" w:type="dxa"/>
          </w:tcPr>
          <w:p w14:paraId="4B69CA5C" w14:textId="77777777" w:rsidR="00995F90" w:rsidRPr="00601647" w:rsidRDefault="00995F90" w:rsidP="00380AD1">
            <w:pPr>
              <w:rPr>
                <w:sz w:val="24"/>
                <w:szCs w:val="24"/>
              </w:rPr>
            </w:pPr>
          </w:p>
        </w:tc>
      </w:tr>
    </w:tbl>
    <w:p w14:paraId="55075B65" w14:textId="77777777" w:rsidR="00C403D1" w:rsidRDefault="00C403D1"/>
    <w:sectPr w:rsidR="00C403D1" w:rsidSect="00C403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D1"/>
    <w:rsid w:val="003975D8"/>
    <w:rsid w:val="0045121B"/>
    <w:rsid w:val="004B42E9"/>
    <w:rsid w:val="005E1D0E"/>
    <w:rsid w:val="00601647"/>
    <w:rsid w:val="006409DD"/>
    <w:rsid w:val="006B7838"/>
    <w:rsid w:val="00926B40"/>
    <w:rsid w:val="00995F90"/>
    <w:rsid w:val="00B577D1"/>
    <w:rsid w:val="00C403D1"/>
    <w:rsid w:val="00CE4C26"/>
    <w:rsid w:val="00D05A8A"/>
    <w:rsid w:val="00D518AA"/>
    <w:rsid w:val="00E07431"/>
    <w:rsid w:val="00E22C7D"/>
    <w:rsid w:val="00F7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47FC"/>
  <w15:chartTrackingRefBased/>
  <w15:docId w15:val="{FFAA86C4-F38A-4409-B6E7-3B171F37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Stark</dc:creator>
  <cp:keywords/>
  <dc:description/>
  <cp:lastModifiedBy>Stark, Christina A</cp:lastModifiedBy>
  <cp:revision>14</cp:revision>
  <dcterms:created xsi:type="dcterms:W3CDTF">2021-09-16T21:18:00Z</dcterms:created>
  <dcterms:modified xsi:type="dcterms:W3CDTF">2021-11-24T17:58:00Z</dcterms:modified>
</cp:coreProperties>
</file>