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72C1" w14:textId="77777777" w:rsidR="00E30B70" w:rsidRDefault="003821AE">
      <w:pPr>
        <w:pStyle w:val="Body"/>
        <w:tabs>
          <w:tab w:val="left" w:pos="180"/>
          <w:tab w:val="left" w:pos="540"/>
        </w:tabs>
        <w:spacing w:line="336" w:lineRule="auto"/>
        <w:ind w:left="720"/>
        <w:jc w:val="both"/>
        <w:rPr>
          <w:rFonts w:ascii="Lato Regular" w:eastAsia="Lato Regular" w:hAnsi="Lato Regular" w:cs="Lato Regular"/>
          <w:sz w:val="20"/>
          <w:szCs w:val="20"/>
        </w:rPr>
      </w:pPr>
      <w:r>
        <w:rPr>
          <w:rFonts w:ascii="Lato Regular" w:eastAsia="Lato Regular" w:hAnsi="Lato Regular" w:cs="Lato Regular"/>
          <w:noProof/>
          <w:sz w:val="20"/>
          <w:szCs w:val="20"/>
        </w:rPr>
        <w:drawing>
          <wp:anchor distT="152400" distB="152400" distL="152400" distR="152400" simplePos="0" relativeHeight="251659264" behindDoc="0" locked="0" layoutInCell="1" allowOverlap="1" wp14:anchorId="413399DD" wp14:editId="07777777">
            <wp:simplePos x="0" y="0"/>
            <wp:positionH relativeFrom="margin">
              <wp:posOffset>-570269</wp:posOffset>
            </wp:positionH>
            <wp:positionV relativeFrom="page">
              <wp:posOffset>287264</wp:posOffset>
            </wp:positionV>
            <wp:extent cx="2937031" cy="1006311"/>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BHA-NewMexico.png"/>
                    <pic:cNvPicPr>
                      <a:picLocks noChangeAspect="1"/>
                    </pic:cNvPicPr>
                  </pic:nvPicPr>
                  <pic:blipFill>
                    <a:blip r:embed="rId8"/>
                    <a:stretch>
                      <a:fillRect/>
                    </a:stretch>
                  </pic:blipFill>
                  <pic:spPr>
                    <a:xfrm>
                      <a:off x="0" y="0"/>
                      <a:ext cx="2937031" cy="1006311"/>
                    </a:xfrm>
                    <a:prstGeom prst="rect">
                      <a:avLst/>
                    </a:prstGeom>
                    <a:ln w="12700" cap="flat">
                      <a:noFill/>
                      <a:miter lim="400000"/>
                    </a:ln>
                    <a:effectLst/>
                  </pic:spPr>
                </pic:pic>
              </a:graphicData>
            </a:graphic>
          </wp:anchor>
        </w:drawing>
      </w:r>
    </w:p>
    <w:p w14:paraId="672A6659" w14:textId="77777777" w:rsidR="00E30B70" w:rsidRDefault="00E30B70">
      <w:pPr>
        <w:pStyle w:val="Body"/>
        <w:tabs>
          <w:tab w:val="left" w:pos="180"/>
          <w:tab w:val="left" w:pos="540"/>
        </w:tabs>
        <w:spacing w:line="336" w:lineRule="auto"/>
        <w:ind w:left="720"/>
        <w:jc w:val="both"/>
        <w:rPr>
          <w:rFonts w:ascii="Lato Regular" w:eastAsia="Lato Regular" w:hAnsi="Lato Regular" w:cs="Lato Regular"/>
          <w:sz w:val="20"/>
          <w:szCs w:val="20"/>
        </w:rPr>
      </w:pPr>
    </w:p>
    <w:p w14:paraId="0A37501D" w14:textId="77777777" w:rsidR="00E30B70" w:rsidRDefault="00E30B70">
      <w:pPr>
        <w:pStyle w:val="Body"/>
        <w:tabs>
          <w:tab w:val="left" w:pos="180"/>
          <w:tab w:val="left" w:pos="540"/>
        </w:tabs>
        <w:spacing w:line="336" w:lineRule="auto"/>
        <w:ind w:left="720"/>
        <w:jc w:val="both"/>
        <w:rPr>
          <w:rFonts w:ascii="Lato Regular" w:eastAsia="Lato Regular" w:hAnsi="Lato Regular" w:cs="Lato Regular"/>
          <w:sz w:val="20"/>
          <w:szCs w:val="20"/>
        </w:rPr>
      </w:pPr>
    </w:p>
    <w:p w14:paraId="5DAB6C7B" w14:textId="77777777" w:rsidR="00E30B70" w:rsidRDefault="00E30B70">
      <w:pPr>
        <w:pStyle w:val="Body"/>
        <w:tabs>
          <w:tab w:val="left" w:pos="180"/>
          <w:tab w:val="left" w:pos="540"/>
        </w:tabs>
        <w:spacing w:line="336" w:lineRule="auto"/>
        <w:ind w:left="720"/>
        <w:jc w:val="both"/>
        <w:rPr>
          <w:rFonts w:ascii="Arial" w:eastAsia="Arial" w:hAnsi="Arial" w:cs="Arial"/>
          <w:sz w:val="20"/>
          <w:szCs w:val="20"/>
        </w:rPr>
      </w:pPr>
    </w:p>
    <w:p w14:paraId="4BC284DC" w14:textId="60FAD4A3" w:rsidR="00AC1305" w:rsidRPr="00AC1305" w:rsidRDefault="00AC1305" w:rsidP="00AC1305">
      <w:pPr>
        <w:spacing w:before="100" w:beforeAutospacing="1" w:after="100" w:afterAutospacing="1"/>
        <w:ind w:left="360"/>
        <w:rPr>
          <w:rFonts w:ascii="Arial" w:eastAsia="Times New Roman" w:hAnsi="Arial" w:cs="Arial"/>
          <w:sz w:val="22"/>
          <w:szCs w:val="22"/>
        </w:rPr>
      </w:pPr>
      <w:r w:rsidRPr="00AC1305">
        <w:rPr>
          <w:rFonts w:ascii="Arial" w:eastAsia="Times New Roman" w:hAnsi="Arial" w:cs="Arial"/>
          <w:sz w:val="22"/>
          <w:szCs w:val="22"/>
        </w:rPr>
        <w:t>These comments</w:t>
      </w:r>
      <w:r w:rsidR="003F7399">
        <w:rPr>
          <w:rFonts w:ascii="Arial" w:eastAsia="Times New Roman" w:hAnsi="Arial" w:cs="Arial"/>
          <w:sz w:val="22"/>
          <w:szCs w:val="22"/>
        </w:rPr>
        <w:t xml:space="preserve"> and objections</w:t>
      </w:r>
      <w:r w:rsidRPr="00AC1305">
        <w:rPr>
          <w:rFonts w:ascii="Arial" w:eastAsia="Times New Roman" w:hAnsi="Arial" w:cs="Arial"/>
          <w:sz w:val="22"/>
          <w:szCs w:val="22"/>
        </w:rPr>
        <w:t xml:space="preserve"> on the</w:t>
      </w:r>
      <w:r w:rsidR="003F7399">
        <w:rPr>
          <w:rFonts w:ascii="Arial" w:eastAsia="Times New Roman" w:hAnsi="Arial" w:cs="Arial"/>
          <w:sz w:val="22"/>
          <w:szCs w:val="22"/>
        </w:rPr>
        <w:t xml:space="preserve"> Final version of the</w:t>
      </w:r>
      <w:r w:rsidRPr="00AC1305">
        <w:rPr>
          <w:rFonts w:ascii="Arial" w:eastAsia="Times New Roman" w:hAnsi="Arial" w:cs="Arial"/>
          <w:sz w:val="22"/>
          <w:szCs w:val="22"/>
        </w:rPr>
        <w:t xml:space="preserve"> Santa Fe National Forrest Land Management Plan are being submitted on behalf of the New Mexico Chapter of Backcountry Hunters and Anglers (NMBHA).</w:t>
      </w:r>
    </w:p>
    <w:p w14:paraId="0990FB15" w14:textId="77777777" w:rsidR="004118D2" w:rsidRDefault="004118D2" w:rsidP="004118D2">
      <w:pPr>
        <w:pStyle w:val="NormalWeb"/>
        <w:numPr>
          <w:ilvl w:val="0"/>
          <w:numId w:val="1"/>
        </w:numPr>
        <w:spacing w:before="0" w:beforeAutospacing="0"/>
        <w:rPr>
          <w:rFonts w:ascii="Arial" w:hAnsi="Arial" w:cs="Arial"/>
          <w:sz w:val="22"/>
          <w:szCs w:val="22"/>
        </w:rPr>
      </w:pPr>
      <w:r w:rsidRPr="00AC1305">
        <w:rPr>
          <w:rFonts w:ascii="Arial" w:hAnsi="Arial" w:cs="Arial"/>
          <w:sz w:val="22"/>
          <w:szCs w:val="22"/>
        </w:rPr>
        <w:t>On pages 141 through 143 the under the section titled Land Acquisition, it is proposed that land be a</w:t>
      </w:r>
      <w:r>
        <w:rPr>
          <w:rFonts w:ascii="Arial" w:hAnsi="Arial" w:cs="Arial"/>
          <w:sz w:val="22"/>
          <w:szCs w:val="22"/>
        </w:rPr>
        <w:t>c</w:t>
      </w:r>
      <w:r w:rsidRPr="00AC1305">
        <w:rPr>
          <w:rFonts w:ascii="Arial" w:hAnsi="Arial" w:cs="Arial"/>
          <w:sz w:val="22"/>
          <w:szCs w:val="22"/>
        </w:rPr>
        <w:t>quired with the “</w:t>
      </w:r>
      <w:r w:rsidRPr="00AC1305">
        <w:rPr>
          <w:rFonts w:ascii="Arial" w:hAnsi="Arial" w:cs="Arial"/>
          <w:i/>
          <w:iCs/>
          <w:sz w:val="22"/>
          <w:szCs w:val="22"/>
        </w:rPr>
        <w:t>Potential to eliminate gaps in public access or to otherwise create a more cohesive trail system</w:t>
      </w:r>
      <w:r w:rsidRPr="00AC1305">
        <w:rPr>
          <w:rFonts w:ascii="Arial" w:hAnsi="Arial" w:cs="Arial"/>
          <w:sz w:val="22"/>
          <w:szCs w:val="22"/>
        </w:rPr>
        <w:t>.” We would suggest that this be of the highest priority either through the direct purchase of lands, or through public/private land exchanges. Improving public access to public lands is paramount to ensuring the future enjoyment and use of public lands by hunters, anglers, and recreationalist in general.</w:t>
      </w:r>
    </w:p>
    <w:p w14:paraId="00CABA9D" w14:textId="77777777" w:rsidR="00AC1305" w:rsidRPr="00AC1305" w:rsidRDefault="00AC1305" w:rsidP="004118D2">
      <w:pPr>
        <w:pStyle w:val="NormalWeb"/>
        <w:spacing w:before="0" w:beforeAutospacing="0"/>
        <w:ind w:left="360"/>
        <w:rPr>
          <w:rFonts w:ascii="Arial" w:hAnsi="Arial" w:cs="Arial"/>
          <w:sz w:val="22"/>
          <w:szCs w:val="22"/>
        </w:rPr>
      </w:pPr>
    </w:p>
    <w:p w14:paraId="2F68B18A" w14:textId="5872BE59" w:rsidR="004118D2" w:rsidRDefault="004118D2" w:rsidP="004118D2">
      <w:pPr>
        <w:pStyle w:val="NormalWeb"/>
        <w:numPr>
          <w:ilvl w:val="0"/>
          <w:numId w:val="1"/>
        </w:numPr>
        <w:spacing w:before="0" w:beforeAutospacing="0"/>
        <w:rPr>
          <w:rFonts w:ascii="Arial" w:hAnsi="Arial" w:cs="Arial"/>
          <w:sz w:val="22"/>
          <w:szCs w:val="22"/>
        </w:rPr>
      </w:pPr>
      <w:r w:rsidRPr="00AC1305">
        <w:rPr>
          <w:rFonts w:ascii="Arial" w:hAnsi="Arial" w:cs="Arial"/>
          <w:sz w:val="22"/>
          <w:szCs w:val="22"/>
        </w:rPr>
        <w:t>On page 145, within the section titled Management Approaches for Lands Special Uses (FW-LANDSU-MA)</w:t>
      </w:r>
      <w:r w:rsidRPr="00AC1305">
        <w:rPr>
          <w:rFonts w:ascii="Arial" w:hAnsi="Arial" w:cs="Arial"/>
          <w:b/>
          <w:bCs/>
          <w:sz w:val="22"/>
          <w:szCs w:val="22"/>
        </w:rPr>
        <w:t xml:space="preserve">, </w:t>
      </w:r>
      <w:r w:rsidRPr="00AC1305">
        <w:rPr>
          <w:rFonts w:ascii="Arial" w:hAnsi="Arial" w:cs="Arial"/>
          <w:sz w:val="22"/>
          <w:szCs w:val="22"/>
        </w:rPr>
        <w:t>bullet point number 2 proposes to “</w:t>
      </w:r>
      <w:r w:rsidRPr="00AC1305">
        <w:rPr>
          <w:rFonts w:ascii="Arial" w:hAnsi="Arial" w:cs="Arial"/>
          <w:i/>
          <w:iCs/>
          <w:sz w:val="22"/>
          <w:szCs w:val="22"/>
        </w:rPr>
        <w:t>Identify locations suitable for commercial filming for inclusion in a ‘menu’ of options subject to streamlined authorization.</w:t>
      </w:r>
      <w:r w:rsidRPr="00AC1305">
        <w:rPr>
          <w:rFonts w:ascii="Arial" w:hAnsi="Arial" w:cs="Arial"/>
          <w:sz w:val="22"/>
          <w:szCs w:val="22"/>
        </w:rPr>
        <w:t xml:space="preserve">” </w:t>
      </w:r>
      <w:r w:rsidR="003F7399">
        <w:rPr>
          <w:rFonts w:ascii="Arial" w:hAnsi="Arial" w:cs="Arial"/>
          <w:sz w:val="22"/>
          <w:szCs w:val="22"/>
        </w:rPr>
        <w:t>While we do not specifically object to this expedited process for Special Use Permits, w</w:t>
      </w:r>
      <w:r w:rsidRPr="00AC1305">
        <w:rPr>
          <w:rFonts w:ascii="Arial" w:hAnsi="Arial" w:cs="Arial"/>
          <w:sz w:val="22"/>
          <w:szCs w:val="22"/>
        </w:rPr>
        <w:t>e would suggest that when issuing special use permits of this nature, the Santa Fe National Forrest Service provide adequate public notice to minimize potential conflicts between hunters and anglers, and the filming industry.</w:t>
      </w:r>
    </w:p>
    <w:p w14:paraId="6D4D8EE2" w14:textId="77777777" w:rsidR="004118D2" w:rsidRPr="004118D2" w:rsidRDefault="004118D2" w:rsidP="004118D2">
      <w:pPr>
        <w:pStyle w:val="NormalWeb"/>
        <w:spacing w:before="0" w:beforeAutospacing="0"/>
        <w:ind w:left="360"/>
        <w:rPr>
          <w:rFonts w:ascii="Arial" w:hAnsi="Arial" w:cs="Arial"/>
          <w:sz w:val="22"/>
          <w:szCs w:val="22"/>
        </w:rPr>
      </w:pPr>
    </w:p>
    <w:p w14:paraId="775AE81F" w14:textId="6B1AC8B5" w:rsidR="00AC1305" w:rsidRPr="00AC1305" w:rsidRDefault="00AC1305" w:rsidP="004118D2">
      <w:pPr>
        <w:pStyle w:val="NormalWeb"/>
        <w:numPr>
          <w:ilvl w:val="0"/>
          <w:numId w:val="1"/>
        </w:numPr>
        <w:spacing w:before="0" w:beforeAutospacing="0"/>
        <w:rPr>
          <w:rFonts w:ascii="Arial" w:hAnsi="Arial" w:cs="Arial"/>
          <w:sz w:val="22"/>
          <w:szCs w:val="22"/>
        </w:rPr>
      </w:pPr>
      <w:r w:rsidRPr="00AC1305">
        <w:rPr>
          <w:rFonts w:ascii="Arial" w:hAnsi="Arial" w:cs="Arial"/>
          <w:sz w:val="22"/>
          <w:szCs w:val="22"/>
        </w:rPr>
        <w:t>The plan identifies five wild horse and burro territories</w:t>
      </w:r>
      <w:r w:rsidR="00C0348B">
        <w:rPr>
          <w:rFonts w:ascii="Arial" w:hAnsi="Arial" w:cs="Arial"/>
          <w:sz w:val="22"/>
          <w:szCs w:val="22"/>
        </w:rPr>
        <w:t>:</w:t>
      </w:r>
      <w:r w:rsidRPr="00AC1305">
        <w:rPr>
          <w:rFonts w:ascii="Arial" w:hAnsi="Arial" w:cs="Arial"/>
          <w:sz w:val="22"/>
          <w:szCs w:val="22"/>
        </w:rPr>
        <w:t xml:space="preserve"> the </w:t>
      </w:r>
      <w:proofErr w:type="spellStart"/>
      <w:r w:rsidRPr="00AC1305">
        <w:rPr>
          <w:rFonts w:ascii="Arial" w:hAnsi="Arial" w:cs="Arial"/>
          <w:sz w:val="22"/>
          <w:szCs w:val="22"/>
        </w:rPr>
        <w:t>Caja</w:t>
      </w:r>
      <w:proofErr w:type="spellEnd"/>
      <w:r w:rsidRPr="00AC1305">
        <w:rPr>
          <w:rFonts w:ascii="Arial" w:hAnsi="Arial" w:cs="Arial"/>
          <w:sz w:val="22"/>
          <w:szCs w:val="22"/>
        </w:rPr>
        <w:t xml:space="preserve"> del Rio, the Dome, the San Diego, the </w:t>
      </w:r>
      <w:proofErr w:type="spellStart"/>
      <w:r w:rsidRPr="00AC1305">
        <w:rPr>
          <w:rFonts w:ascii="Arial" w:hAnsi="Arial" w:cs="Arial"/>
          <w:sz w:val="22"/>
          <w:szCs w:val="22"/>
        </w:rPr>
        <w:t>Chicoma</w:t>
      </w:r>
      <w:proofErr w:type="spellEnd"/>
      <w:r w:rsidRPr="00AC1305">
        <w:rPr>
          <w:rFonts w:ascii="Arial" w:hAnsi="Arial" w:cs="Arial"/>
          <w:sz w:val="22"/>
          <w:szCs w:val="22"/>
        </w:rPr>
        <w:t xml:space="preserve"> and the Mesa De Las </w:t>
      </w:r>
      <w:proofErr w:type="spellStart"/>
      <w:r w:rsidRPr="00AC1305">
        <w:rPr>
          <w:rFonts w:ascii="Arial" w:hAnsi="Arial" w:cs="Arial"/>
          <w:sz w:val="22"/>
          <w:szCs w:val="22"/>
        </w:rPr>
        <w:t>Viegas</w:t>
      </w:r>
      <w:proofErr w:type="spellEnd"/>
      <w:r w:rsidRPr="00AC1305">
        <w:rPr>
          <w:rFonts w:ascii="Arial" w:hAnsi="Arial" w:cs="Arial"/>
          <w:sz w:val="22"/>
          <w:szCs w:val="22"/>
        </w:rPr>
        <w:t xml:space="preserve">. Only the </w:t>
      </w:r>
      <w:proofErr w:type="spellStart"/>
      <w:r w:rsidRPr="00AC1305">
        <w:rPr>
          <w:rFonts w:ascii="Arial" w:hAnsi="Arial" w:cs="Arial"/>
          <w:sz w:val="22"/>
          <w:szCs w:val="22"/>
        </w:rPr>
        <w:t>Caja</w:t>
      </w:r>
      <w:proofErr w:type="spellEnd"/>
      <w:r w:rsidRPr="00AC1305">
        <w:rPr>
          <w:rFonts w:ascii="Arial" w:hAnsi="Arial" w:cs="Arial"/>
          <w:sz w:val="22"/>
          <w:szCs w:val="22"/>
        </w:rPr>
        <w:t xml:space="preserve"> del Rio is shown on the </w:t>
      </w:r>
      <w:r w:rsidR="00C0348B" w:rsidRPr="00AC1305">
        <w:rPr>
          <w:rFonts w:ascii="Arial" w:hAnsi="Arial" w:cs="Arial"/>
          <w:sz w:val="22"/>
          <w:szCs w:val="22"/>
        </w:rPr>
        <w:t>jurisdictional</w:t>
      </w:r>
      <w:r w:rsidRPr="00AC1305">
        <w:rPr>
          <w:rFonts w:ascii="Arial" w:hAnsi="Arial" w:cs="Arial"/>
          <w:sz w:val="22"/>
          <w:szCs w:val="22"/>
        </w:rPr>
        <w:t xml:space="preserve"> maps (Figure 4) on pages 164 and 165. All wild horse and burro territories should be shown within these maps. </w:t>
      </w:r>
      <w:r w:rsidR="003F7399">
        <w:rPr>
          <w:rFonts w:ascii="Arial" w:hAnsi="Arial" w:cs="Arial"/>
          <w:sz w:val="22"/>
          <w:szCs w:val="22"/>
        </w:rPr>
        <w:t>We object to the fact that t</w:t>
      </w:r>
      <w:r w:rsidRPr="00AC1305">
        <w:rPr>
          <w:rFonts w:ascii="Arial" w:hAnsi="Arial" w:cs="Arial"/>
          <w:sz w:val="22"/>
          <w:szCs w:val="22"/>
        </w:rPr>
        <w:t xml:space="preserve">he plan makes no mention of how potential range expansion of these horse and burro populations will be documented or curtailed outside of a vague reference to monitor the populations once every 3-4 years (page 180). No specifics as to how the monitoring will be conducted, the ability to estimate population sizes, or how the results will be implemented into management actions are given. Because nonnative species such as horses and burros can rapidly degrade their environment, outcompete native ungulates for limited resources such as water, and increase their population size by 20% or more annually, the plan needs to address all of these issues in detail. </w:t>
      </w:r>
    </w:p>
    <w:p w14:paraId="7587E49F" w14:textId="086401EC" w:rsidR="00AC1305" w:rsidRPr="00AC1305" w:rsidRDefault="00AC1305" w:rsidP="00AC1305">
      <w:pPr>
        <w:pStyle w:val="NormalWeb"/>
        <w:ind w:left="360"/>
        <w:rPr>
          <w:rFonts w:ascii="Arial" w:hAnsi="Arial" w:cs="Arial"/>
          <w:sz w:val="22"/>
          <w:szCs w:val="22"/>
        </w:rPr>
      </w:pPr>
      <w:r w:rsidRPr="00AC1305">
        <w:rPr>
          <w:rFonts w:ascii="Arial" w:hAnsi="Arial" w:cs="Arial"/>
          <w:sz w:val="22"/>
          <w:szCs w:val="22"/>
        </w:rPr>
        <w:t xml:space="preserve">Thank you for the opportunity to </w:t>
      </w:r>
      <w:r w:rsidR="003F7399">
        <w:rPr>
          <w:rFonts w:ascii="Arial" w:hAnsi="Arial" w:cs="Arial"/>
          <w:sz w:val="22"/>
          <w:szCs w:val="22"/>
        </w:rPr>
        <w:t>provide feedback</w:t>
      </w:r>
      <w:r w:rsidRPr="00AC1305">
        <w:rPr>
          <w:rFonts w:ascii="Arial" w:hAnsi="Arial" w:cs="Arial"/>
          <w:sz w:val="22"/>
          <w:szCs w:val="22"/>
        </w:rPr>
        <w:t xml:space="preserve"> on the</w:t>
      </w:r>
      <w:r w:rsidR="003F7399">
        <w:rPr>
          <w:rFonts w:ascii="Arial" w:hAnsi="Arial" w:cs="Arial"/>
          <w:sz w:val="22"/>
          <w:szCs w:val="22"/>
        </w:rPr>
        <w:t xml:space="preserve"> Final version</w:t>
      </w:r>
      <w:r w:rsidRPr="00AC1305">
        <w:rPr>
          <w:rFonts w:ascii="Arial" w:hAnsi="Arial" w:cs="Arial"/>
          <w:sz w:val="22"/>
          <w:szCs w:val="22"/>
        </w:rPr>
        <w:t xml:space="preserve"> Santa Fe National Forrest Land Management Plan. </w:t>
      </w:r>
    </w:p>
    <w:p w14:paraId="795A8F3C" w14:textId="77777777" w:rsidR="00AC1305" w:rsidRPr="00AC1305" w:rsidRDefault="00AC1305" w:rsidP="00AC1305">
      <w:pPr>
        <w:pStyle w:val="NormalWeb"/>
        <w:ind w:left="360"/>
        <w:rPr>
          <w:rFonts w:ascii="Arial" w:hAnsi="Arial" w:cs="Arial"/>
          <w:sz w:val="22"/>
          <w:szCs w:val="22"/>
        </w:rPr>
      </w:pPr>
      <w:r w:rsidRPr="00AC1305">
        <w:rPr>
          <w:rFonts w:ascii="Arial" w:hAnsi="Arial" w:cs="Arial"/>
          <w:sz w:val="22"/>
          <w:szCs w:val="22"/>
        </w:rPr>
        <w:t>Michael Farrington</w:t>
      </w:r>
    </w:p>
    <w:p w14:paraId="2235EB28" w14:textId="77777777" w:rsidR="00AC1305" w:rsidRPr="00AC1305" w:rsidRDefault="00AC1305" w:rsidP="00AC1305">
      <w:pPr>
        <w:pStyle w:val="NormalWeb"/>
        <w:spacing w:before="0" w:beforeAutospacing="0" w:after="0" w:afterAutospacing="0"/>
        <w:ind w:left="360"/>
        <w:rPr>
          <w:rFonts w:ascii="Arial" w:hAnsi="Arial" w:cs="Arial"/>
          <w:sz w:val="22"/>
          <w:szCs w:val="22"/>
        </w:rPr>
      </w:pPr>
      <w:r w:rsidRPr="00AC1305">
        <w:rPr>
          <w:rFonts w:ascii="Arial" w:hAnsi="Arial" w:cs="Arial"/>
          <w:sz w:val="22"/>
          <w:szCs w:val="22"/>
        </w:rPr>
        <w:t xml:space="preserve">Vice Chairman </w:t>
      </w:r>
    </w:p>
    <w:p w14:paraId="098B28D6" w14:textId="253B047A" w:rsidR="00AC1305" w:rsidRPr="00AC1305" w:rsidRDefault="00AC1305" w:rsidP="00AC1305">
      <w:pPr>
        <w:pStyle w:val="NormalWeb"/>
        <w:spacing w:before="0" w:beforeAutospacing="0" w:after="0" w:afterAutospacing="0"/>
        <w:ind w:left="360"/>
        <w:rPr>
          <w:rFonts w:ascii="Arial" w:hAnsi="Arial" w:cs="Arial"/>
          <w:sz w:val="22"/>
          <w:szCs w:val="22"/>
        </w:rPr>
      </w:pPr>
      <w:r w:rsidRPr="00AC1305">
        <w:rPr>
          <w:rFonts w:ascii="Arial" w:hAnsi="Arial" w:cs="Arial"/>
          <w:sz w:val="22"/>
          <w:szCs w:val="22"/>
        </w:rPr>
        <w:lastRenderedPageBreak/>
        <w:t>New Mexico Chapter of Backcountry Hunters and Anglers</w:t>
      </w:r>
    </w:p>
    <w:p w14:paraId="6B61DB7B" w14:textId="4997CDCE" w:rsidR="00E30B70" w:rsidRPr="00AC1305" w:rsidRDefault="00E30B70">
      <w:pPr>
        <w:pStyle w:val="Body"/>
        <w:tabs>
          <w:tab w:val="left" w:pos="180"/>
          <w:tab w:val="left" w:pos="540"/>
        </w:tabs>
        <w:spacing w:line="336" w:lineRule="auto"/>
        <w:ind w:left="720"/>
        <w:jc w:val="both"/>
        <w:rPr>
          <w:rFonts w:ascii="Arial" w:hAnsi="Arial" w:cs="Arial"/>
        </w:rPr>
      </w:pPr>
    </w:p>
    <w:sectPr w:rsidR="00E30B70" w:rsidRPr="00AC1305">
      <w:headerReference w:type="default" r:id="rId9"/>
      <w:footerReference w:type="default" r:id="rId10"/>
      <w:pgSz w:w="12240" w:h="15840"/>
      <w:pgMar w:top="1440" w:right="1440" w:bottom="180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D6B8" w14:textId="77777777" w:rsidR="001E047C" w:rsidRDefault="001E047C">
      <w:r>
        <w:separator/>
      </w:r>
    </w:p>
  </w:endnote>
  <w:endnote w:type="continuationSeparator" w:id="0">
    <w:p w14:paraId="32466F55" w14:textId="77777777" w:rsidR="001E047C" w:rsidRDefault="001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ato 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95D" w14:textId="0B0DA763" w:rsidR="00E30B70" w:rsidRDefault="003821AE" w:rsidP="4945E270">
    <w:pPr>
      <w:pStyle w:val="HeaderFooter"/>
      <w:tabs>
        <w:tab w:val="clear" w:pos="9020"/>
        <w:tab w:val="center" w:pos="4680"/>
        <w:tab w:val="right" w:pos="9360"/>
      </w:tabs>
      <w:spacing w:after="100"/>
      <w:ind w:left="1571"/>
      <w:rPr>
        <w:rFonts w:ascii="Arial" w:eastAsia="Arial" w:hAnsi="Arial" w:cs="Arial"/>
        <w:b/>
        <w:bCs/>
        <w:caps/>
        <w:color w:val="1F371B"/>
        <w:sz w:val="16"/>
        <w:szCs w:val="16"/>
      </w:rPr>
    </w:pPr>
    <w:r>
      <w:rPr>
        <w:rFonts w:ascii="Arial" w:hAnsi="Arial"/>
        <w:b/>
        <w:bCs/>
        <w:caps/>
        <w:color w:val="1F371B"/>
        <w:spacing w:val="27"/>
        <w:sz w:val="16"/>
        <w:szCs w:val="16"/>
      </w:rPr>
      <w:t>www.backcountryhunters.org/new_mexico_bha</w:t>
    </w:r>
  </w:p>
  <w:p w14:paraId="67CA7228" w14:textId="0C15494B" w:rsidR="00E30B70" w:rsidRDefault="003821AE">
    <w:pPr>
      <w:pStyle w:val="HeaderFooter"/>
      <w:tabs>
        <w:tab w:val="clear" w:pos="9020"/>
        <w:tab w:val="center" w:pos="4680"/>
        <w:tab w:val="right" w:pos="9360"/>
      </w:tabs>
      <w:spacing w:after="100"/>
      <w:ind w:left="1571"/>
    </w:pPr>
    <w:r>
      <w:rPr>
        <w:rFonts w:ascii="Arial" w:hAnsi="Arial"/>
        <w:b/>
        <w:bCs/>
        <w:caps/>
        <w:color w:val="1F371B"/>
        <w:spacing w:val="27"/>
        <w:sz w:val="16"/>
        <w:szCs w:val="16"/>
      </w:rPr>
      <w:t>newmexico@backcountryhunters.org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6060" w14:textId="77777777" w:rsidR="001E047C" w:rsidRDefault="001E047C">
      <w:r>
        <w:separator/>
      </w:r>
    </w:p>
  </w:footnote>
  <w:footnote w:type="continuationSeparator" w:id="0">
    <w:p w14:paraId="7AA65DBC" w14:textId="77777777" w:rsidR="001E047C" w:rsidRDefault="001E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4184" w14:textId="77777777" w:rsidR="00E30B70" w:rsidRDefault="003821AE">
    <w:r>
      <w:rPr>
        <w:noProof/>
      </w:rPr>
      <w:drawing>
        <wp:anchor distT="152400" distB="152400" distL="152400" distR="152400" simplePos="0" relativeHeight="251658240" behindDoc="1" locked="0" layoutInCell="1" allowOverlap="1" wp14:anchorId="473F3F81" wp14:editId="07777777">
          <wp:simplePos x="0" y="0"/>
          <wp:positionH relativeFrom="page">
            <wp:posOffset>1375519</wp:posOffset>
          </wp:positionH>
          <wp:positionV relativeFrom="page">
            <wp:posOffset>9144000</wp:posOffset>
          </wp:positionV>
          <wp:extent cx="238061" cy="23806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HA-Letterhead-Icons-01.png"/>
                  <pic:cNvPicPr>
                    <a:picLocks noChangeAspect="1"/>
                  </pic:cNvPicPr>
                </pic:nvPicPr>
                <pic:blipFill>
                  <a:blip r:embed="rId1"/>
                  <a:stretch>
                    <a:fillRect/>
                  </a:stretch>
                </pic:blipFill>
                <pic:spPr>
                  <a:xfrm>
                    <a:off x="0" y="0"/>
                    <a:ext cx="238061" cy="23806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2F0DF05F" wp14:editId="07777777">
          <wp:simplePos x="0" y="0"/>
          <wp:positionH relativeFrom="page">
            <wp:posOffset>1375519</wp:posOffset>
          </wp:positionH>
          <wp:positionV relativeFrom="page">
            <wp:posOffset>9330878</wp:posOffset>
          </wp:positionV>
          <wp:extent cx="247760" cy="247347"/>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HA-Letterhead-Icons-02.png"/>
                  <pic:cNvPicPr>
                    <a:picLocks noChangeAspect="1"/>
                  </pic:cNvPicPr>
                </pic:nvPicPr>
                <pic:blipFill>
                  <a:blip r:embed="rId2"/>
                  <a:stretch>
                    <a:fillRect/>
                  </a:stretch>
                </pic:blipFill>
                <pic:spPr>
                  <a:xfrm>
                    <a:off x="0" y="0"/>
                    <a:ext cx="247760" cy="247347"/>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40D3F428" wp14:editId="07777777">
              <wp:simplePos x="0" y="0"/>
              <wp:positionH relativeFrom="page">
                <wp:posOffset>2997200</wp:posOffset>
              </wp:positionH>
              <wp:positionV relativeFrom="page">
                <wp:posOffset>5736044</wp:posOffset>
              </wp:positionV>
              <wp:extent cx="5983060" cy="432235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983060" cy="4322356"/>
                      </a:xfrm>
                      <a:prstGeom prst="rect">
                        <a:avLst/>
                      </a:prstGeom>
                      <a:blipFill rotWithShape="1">
                        <a:blip r:embed="rId3"/>
                        <a:srcRect/>
                        <a:stretch>
                          <a:fillRect/>
                        </a:stretch>
                      </a:blipFill>
                      <a:ln w="12700" cap="flat">
                        <a:noFill/>
                        <a:miter lim="400000"/>
                      </a:ln>
                      <a:effectLst/>
                    </wps:spPr>
                    <wps:bodyPr/>
                  </wps:wsp>
                </a:graphicData>
              </a:graphic>
            </wp:anchor>
          </w:drawing>
        </mc:Choice>
        <mc:Fallback xmlns:wp14="http://schemas.microsoft.com/office/word/2010/wordml" xmlns:pic="http://schemas.openxmlformats.org/drawingml/2006/picture" xmlns:a="http://schemas.openxmlformats.org/drawingml/2006/main">
          <w:pict w14:anchorId="3BDE8EF6">
            <v:rect id="_x0000_s1026" style="visibility:visible;position:absolute;margin-left:236.0pt;margin-top:451.7pt;width:471.1pt;height:340.3pt;z-index:-251656192;mso-position-horizontal:absolute;mso-position-horizontal-relative:page;mso-position-vertical:absolute;mso-position-vertical-relative:page;mso-wrap-distance-left:12.0pt;mso-wrap-distance-top:12.0pt;mso-wrap-distance-right:12.0pt;mso-wrap-distance-bottom:12.0pt;">
              <v:fill type="frame" o:title="BHA-Letterhead-Background-01.png" rotate="t" r:id="rId4"/>
              <v:stroke on="f" weight="1.0pt" linestyle="single" miterlimit="400.0%" joinstyle="miter" endcap="flat" dashstyle="solid"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1312" behindDoc="1" locked="0" layoutInCell="1" allowOverlap="1" wp14:anchorId="2A46185B" wp14:editId="07777777">
              <wp:simplePos x="0" y="0"/>
              <wp:positionH relativeFrom="page">
                <wp:posOffset>1375519</wp:posOffset>
              </wp:positionH>
              <wp:positionV relativeFrom="page">
                <wp:posOffset>9007475</wp:posOffset>
              </wp:positionV>
              <wp:extent cx="5482482"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5482482" cy="0"/>
                      </a:xfrm>
                      <a:prstGeom prst="line">
                        <a:avLst/>
                      </a:prstGeom>
                      <a:noFill/>
                      <a:ln w="12700" cap="flat">
                        <a:solidFill>
                          <a:srgbClr val="530D11"/>
                        </a:solidFill>
                        <a:prstDash val="solid"/>
                        <a:miter lim="400000"/>
                      </a:ln>
                      <a:effectLst/>
                    </wps:spPr>
                    <wps:bodyPr/>
                  </wps:wsp>
                </a:graphicData>
              </a:graphic>
            </wp:anchor>
          </w:drawing>
        </mc:Choice>
        <mc:Fallback xmlns:wp14="http://schemas.microsoft.com/office/word/2010/wordml" xmlns:pic="http://schemas.openxmlformats.org/drawingml/2006/picture" xmlns:a="http://schemas.openxmlformats.org/drawingml/2006/main">
          <w:pict w14:anchorId="397BE53B">
            <v:line id="_x0000_s1027" style="visibility:visible;position:absolute;margin-left:108.3pt;margin-top:709.2pt;width:431.7pt;height:0.0pt;z-index:-251655168;mso-position-horizontal:absolute;mso-position-horizontal-relative:page;mso-position-vertical:absolute;mso-position-vertical-relative:page;mso-wrap-distance-left:12.0pt;mso-wrap-distance-top:12.0pt;mso-wrap-distance-right:12.0pt;mso-wrap-distance-bottom:12.0pt;">
              <v:fill on="f"/>
              <v:stroke weight="1.0pt" color="#530D11" opacity="100.0%" linestyle="single" miterlimit="400.0%" joinstyle="miter" endcap="flat" dashstyle="solid" filltype="solid" startarrow="none" startarrowwidth="medium" startarrowlength="medium" endarrow="none" endarrowwidth="medium" endarrowlength="medium"/>
              <w10:wrap type="none" side="bothSides"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4FE0"/>
    <w:multiLevelType w:val="multilevel"/>
    <w:tmpl w:val="00229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45E270"/>
    <w:rsid w:val="00082AB4"/>
    <w:rsid w:val="001E047C"/>
    <w:rsid w:val="002B37C0"/>
    <w:rsid w:val="002E077B"/>
    <w:rsid w:val="003821AE"/>
    <w:rsid w:val="003F7399"/>
    <w:rsid w:val="004118D2"/>
    <w:rsid w:val="00740196"/>
    <w:rsid w:val="00AC1305"/>
    <w:rsid w:val="00C0348B"/>
    <w:rsid w:val="00E30B70"/>
    <w:rsid w:val="4945E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2F6A22"/>
  <w15:docId w15:val="{380CB7A5-83DC-491E-9F25-5EB9E686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paragraph" w:styleId="NormalWeb">
    <w:name w:val="Normal (Web)"/>
    <w:basedOn w:val="Normal"/>
    <w:uiPriority w:val="99"/>
    <w:unhideWhenUsed/>
    <w:rsid w:val="00AC13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AC1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1D10-ED84-2243-A2B4-DB031EF4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A. Farrington</cp:lastModifiedBy>
  <cp:revision>6</cp:revision>
  <dcterms:created xsi:type="dcterms:W3CDTF">2021-10-14T19:22:00Z</dcterms:created>
  <dcterms:modified xsi:type="dcterms:W3CDTF">2021-10-21T19:02:00Z</dcterms:modified>
</cp:coreProperties>
</file>