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1A7" w:rsidRDefault="001A11A7" w:rsidP="00A31583"/>
    <w:p w:rsidR="001A11A7" w:rsidRDefault="001A11A7" w:rsidP="00A31583"/>
    <w:p w:rsidR="00E361BE" w:rsidRDefault="00E361BE" w:rsidP="00A31583"/>
    <w:p w:rsidR="00666A20" w:rsidRPr="00A31583" w:rsidRDefault="00C86A7F" w:rsidP="00A31583">
      <w:r>
        <w:t>13 Oct</w:t>
      </w:r>
      <w:r w:rsidR="00C0625C">
        <w:t>ober</w:t>
      </w:r>
      <w:r w:rsidR="005F71C7">
        <w:t xml:space="preserve"> </w:t>
      </w:r>
      <w:r w:rsidR="006767B9">
        <w:t>2020</w:t>
      </w:r>
    </w:p>
    <w:p w:rsidR="00A31583" w:rsidRDefault="00A31583" w:rsidP="00A31583"/>
    <w:p w:rsidR="00DE4164" w:rsidRDefault="00666A20" w:rsidP="00A31583">
      <w:r w:rsidRPr="00A31583">
        <w:t>TO:</w:t>
      </w:r>
      <w:r w:rsidR="00DE4164">
        <w:t xml:space="preserve"> </w:t>
      </w:r>
      <w:r w:rsidR="00C86A7F">
        <w:t xml:space="preserve">Shane Jeffries, </w:t>
      </w:r>
      <w:proofErr w:type="spellStart"/>
      <w:r w:rsidR="00C86A7F">
        <w:t>Ochoco</w:t>
      </w:r>
      <w:proofErr w:type="spellEnd"/>
      <w:r w:rsidR="00C86A7F">
        <w:t xml:space="preserve"> NF Supervisor, </w:t>
      </w:r>
      <w:r w:rsidR="00C86A7F" w:rsidRPr="00C86A7F">
        <w:rPr>
          <w:i/>
        </w:rPr>
        <w:t>acting on behalf of</w:t>
      </w:r>
      <w:r w:rsidR="00C86A7F">
        <w:t xml:space="preserve"> the PNW Regional Forester</w:t>
      </w:r>
    </w:p>
    <w:p w:rsidR="00666A20" w:rsidRPr="00A31583" w:rsidRDefault="00DE4164" w:rsidP="00A31583">
      <w:r>
        <w:t>VIA</w:t>
      </w:r>
      <w:r w:rsidR="00A50DA3">
        <w:t xml:space="preserve">: </w:t>
      </w:r>
      <w:hyperlink r:id="rId9" w:history="1">
        <w:r w:rsidR="0025001E" w:rsidRPr="008D1F4C">
          <w:rPr>
            <w:rStyle w:val="Hyperlink"/>
          </w:rPr>
          <w:t>SM.FS.EScreens21@usda.gov</w:t>
        </w:r>
      </w:hyperlink>
      <w:r w:rsidR="0025001E">
        <w:t xml:space="preserve"> </w:t>
      </w:r>
    </w:p>
    <w:p w:rsidR="00A31583" w:rsidRDefault="00A31583" w:rsidP="00A31583"/>
    <w:p w:rsidR="00666A20" w:rsidRPr="006767B9" w:rsidRDefault="00666A20" w:rsidP="00A31583">
      <w:pPr>
        <w:rPr>
          <w:b/>
        </w:rPr>
      </w:pPr>
      <w:r w:rsidRPr="006767B9">
        <w:rPr>
          <w:b/>
        </w:rPr>
        <w:t xml:space="preserve">Subject:  </w:t>
      </w:r>
      <w:r w:rsidR="00C86A7F" w:rsidRPr="00C86A7F">
        <w:rPr>
          <w:b/>
        </w:rPr>
        <w:t>Forest Management Direction for Large Diameter Trees in Eastern Oregon Environmental Assessment-Preliminary</w:t>
      </w:r>
      <w:r w:rsidR="00DE4164" w:rsidRPr="006767B9">
        <w:rPr>
          <w:b/>
        </w:rPr>
        <w:t xml:space="preserve"> </w:t>
      </w:r>
      <w:r w:rsidRPr="006767B9">
        <w:rPr>
          <w:b/>
        </w:rPr>
        <w:t>—</w:t>
      </w:r>
      <w:r w:rsidR="00073464" w:rsidRPr="006767B9">
        <w:rPr>
          <w:b/>
        </w:rPr>
        <w:t xml:space="preserve"> </w:t>
      </w:r>
      <w:r w:rsidRPr="006767B9">
        <w:rPr>
          <w:b/>
        </w:rPr>
        <w:t>comments</w:t>
      </w:r>
    </w:p>
    <w:p w:rsidR="00A31583" w:rsidRDefault="00A31583" w:rsidP="00A31583"/>
    <w:p w:rsidR="00666A20" w:rsidRPr="00A31583" w:rsidRDefault="00666A20" w:rsidP="00A31583">
      <w:r w:rsidRPr="00A31583">
        <w:t>Please accept the following comments from Oregon Wild concerning the</w:t>
      </w:r>
      <w:r w:rsidR="005F71C7" w:rsidRPr="007540A7">
        <w:t xml:space="preserve"> </w:t>
      </w:r>
      <w:r w:rsidR="00C86A7F">
        <w:t>Forest Management Direction for Large Diameter Trees in Eastern Oregon Environmental Assessment-Preliminary</w:t>
      </w:r>
      <w:r w:rsidR="00EB5DCF">
        <w:t>,</w:t>
      </w:r>
      <w:r w:rsidR="00A50DA3">
        <w:t xml:space="preserve"> </w:t>
      </w:r>
      <w:hyperlink r:id="rId10" w:history="1">
        <w:r w:rsidR="00C86A7F" w:rsidRPr="008D1F4C">
          <w:rPr>
            <w:rStyle w:val="Hyperlink"/>
          </w:rPr>
          <w:t>https://www.fs.usda.gov/detail/r6/landmanagement/planning/?cid=FSEPRD710229</w:t>
        </w:r>
      </w:hyperlink>
      <w:r w:rsidR="00625BDA">
        <w:t>. Oregon Wild represents 20</w:t>
      </w:r>
      <w:r w:rsidRPr="00A31583">
        <w:t xml:space="preserve">,000 members and supporters who share our mission to protect and restore Oregon’s wildlands, wildlife, and water as an enduring legacy. </w:t>
      </w:r>
    </w:p>
    <w:p w:rsidR="00A31583" w:rsidRDefault="00A31583" w:rsidP="00A31583"/>
    <w:p w:rsidR="0025001E" w:rsidRDefault="00666A20" w:rsidP="0025001E">
      <w:r w:rsidRPr="00A31583">
        <w:t>The propo</w:t>
      </w:r>
      <w:r w:rsidR="0025001E">
        <w:t xml:space="preserve">sed action alternative involves amending the Eastside Screens to: </w:t>
      </w:r>
    </w:p>
    <w:p w:rsidR="0025001E" w:rsidRDefault="00193B64" w:rsidP="0025001E">
      <w:pPr>
        <w:pStyle w:val="ListParagraph"/>
        <w:numPr>
          <w:ilvl w:val="0"/>
          <w:numId w:val="2"/>
        </w:numPr>
      </w:pPr>
      <w:r>
        <w:t>allow removal of</w:t>
      </w:r>
      <w:r w:rsidR="0025001E">
        <w:t xml:space="preserve"> </w:t>
      </w:r>
      <w:r>
        <w:t xml:space="preserve">large </w:t>
      </w:r>
      <w:r w:rsidR="0025001E">
        <w:t xml:space="preserve">white fir, grand fir, and Douglas fir 21-30” dbh, </w:t>
      </w:r>
    </w:p>
    <w:p w:rsidR="0025001E" w:rsidRDefault="0025001E" w:rsidP="0025001E">
      <w:pPr>
        <w:pStyle w:val="ListParagraph"/>
        <w:numPr>
          <w:ilvl w:val="0"/>
          <w:numId w:val="2"/>
        </w:numPr>
      </w:pPr>
      <w:r>
        <w:t xml:space="preserve">changing the existing large tree protection standard to a guideline, and </w:t>
      </w:r>
    </w:p>
    <w:p w:rsidR="00666A20" w:rsidRDefault="0025001E" w:rsidP="00A31583">
      <w:pPr>
        <w:pStyle w:val="ListParagraph"/>
        <w:numPr>
          <w:ilvl w:val="0"/>
          <w:numId w:val="2"/>
        </w:numPr>
      </w:pPr>
      <w:r>
        <w:t>replacing the existing snag and green tree standard with a new standard that is ambiguous and protects fewer snags and green trees.</w:t>
      </w:r>
    </w:p>
    <w:sdt>
      <w:sdtPr>
        <w:rPr>
          <w:rFonts w:ascii="Times New Roman" w:eastAsiaTheme="minorHAnsi" w:hAnsi="Times New Roman" w:cs="Times New Roman"/>
          <w:b w:val="0"/>
          <w:bCs w:val="0"/>
          <w:color w:val="auto"/>
          <w:sz w:val="24"/>
          <w:szCs w:val="24"/>
          <w:lang w:eastAsia="en-US"/>
        </w:rPr>
        <w:id w:val="-683055623"/>
        <w:docPartObj>
          <w:docPartGallery w:val="Table of Contents"/>
          <w:docPartUnique/>
        </w:docPartObj>
      </w:sdtPr>
      <w:sdtEndPr>
        <w:rPr>
          <w:noProof/>
        </w:rPr>
      </w:sdtEndPr>
      <w:sdtContent>
        <w:p w:rsidR="00193B64" w:rsidRDefault="00193B64">
          <w:pPr>
            <w:pStyle w:val="TOCHeading"/>
          </w:pPr>
          <w:r>
            <w:t>Table of Contents</w:t>
          </w:r>
        </w:p>
        <w:p w:rsidR="0065505E" w:rsidRDefault="00193B64">
          <w:pPr>
            <w:pStyle w:val="TOC2"/>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483503" w:history="1">
            <w:r w:rsidR="0065505E" w:rsidRPr="00B65A5A">
              <w:rPr>
                <w:rStyle w:val="Hyperlink"/>
                <w:noProof/>
              </w:rPr>
              <w:t>INTRODUCTION</w:t>
            </w:r>
            <w:r w:rsidR="0065505E">
              <w:rPr>
                <w:noProof/>
                <w:webHidden/>
              </w:rPr>
              <w:tab/>
            </w:r>
            <w:r w:rsidR="0065505E">
              <w:rPr>
                <w:noProof/>
                <w:webHidden/>
              </w:rPr>
              <w:fldChar w:fldCharType="begin"/>
            </w:r>
            <w:r w:rsidR="0065505E">
              <w:rPr>
                <w:noProof/>
                <w:webHidden/>
              </w:rPr>
              <w:instrText xml:space="preserve"> PAGEREF _Toc53483503 \h </w:instrText>
            </w:r>
            <w:r w:rsidR="0065505E">
              <w:rPr>
                <w:noProof/>
                <w:webHidden/>
              </w:rPr>
            </w:r>
            <w:r w:rsidR="0065505E">
              <w:rPr>
                <w:noProof/>
                <w:webHidden/>
              </w:rPr>
              <w:fldChar w:fldCharType="separate"/>
            </w:r>
            <w:r w:rsidR="0065505E">
              <w:rPr>
                <w:noProof/>
                <w:webHidden/>
              </w:rPr>
              <w:t>2</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04" w:history="1">
            <w:r w:rsidR="0065505E" w:rsidRPr="00B65A5A">
              <w:rPr>
                <w:rStyle w:val="Hyperlink"/>
                <w:noProof/>
              </w:rPr>
              <w:t>PROJECT WEBSITE BROKEN. COMMENT PERIOD NEEDS TO BE EXTENDED.</w:t>
            </w:r>
            <w:r w:rsidR="0065505E">
              <w:rPr>
                <w:noProof/>
                <w:webHidden/>
              </w:rPr>
              <w:tab/>
            </w:r>
            <w:r w:rsidR="0065505E">
              <w:rPr>
                <w:noProof/>
                <w:webHidden/>
              </w:rPr>
              <w:fldChar w:fldCharType="begin"/>
            </w:r>
            <w:r w:rsidR="0065505E">
              <w:rPr>
                <w:noProof/>
                <w:webHidden/>
              </w:rPr>
              <w:instrText xml:space="preserve"> PAGEREF _Toc53483504 \h </w:instrText>
            </w:r>
            <w:r w:rsidR="0065505E">
              <w:rPr>
                <w:noProof/>
                <w:webHidden/>
              </w:rPr>
            </w:r>
            <w:r w:rsidR="0065505E">
              <w:rPr>
                <w:noProof/>
                <w:webHidden/>
              </w:rPr>
              <w:fldChar w:fldCharType="separate"/>
            </w:r>
            <w:r w:rsidR="0065505E">
              <w:rPr>
                <w:noProof/>
                <w:webHidden/>
              </w:rPr>
              <w:t>4</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05" w:history="1">
            <w:r w:rsidR="0065505E" w:rsidRPr="00B65A5A">
              <w:rPr>
                <w:rStyle w:val="Hyperlink"/>
                <w:noProof/>
              </w:rPr>
              <w:t>PUBLIC INVOLVEMENT</w:t>
            </w:r>
            <w:r w:rsidR="0065505E">
              <w:rPr>
                <w:noProof/>
                <w:webHidden/>
              </w:rPr>
              <w:tab/>
            </w:r>
            <w:r w:rsidR="0065505E">
              <w:rPr>
                <w:noProof/>
                <w:webHidden/>
              </w:rPr>
              <w:fldChar w:fldCharType="begin"/>
            </w:r>
            <w:r w:rsidR="0065505E">
              <w:rPr>
                <w:noProof/>
                <w:webHidden/>
              </w:rPr>
              <w:instrText xml:space="preserve"> PAGEREF _Toc53483505 \h </w:instrText>
            </w:r>
            <w:r w:rsidR="0065505E">
              <w:rPr>
                <w:noProof/>
                <w:webHidden/>
              </w:rPr>
            </w:r>
            <w:r w:rsidR="0065505E">
              <w:rPr>
                <w:noProof/>
                <w:webHidden/>
              </w:rPr>
              <w:fldChar w:fldCharType="separate"/>
            </w:r>
            <w:r w:rsidR="0065505E">
              <w:rPr>
                <w:noProof/>
                <w:webHidden/>
              </w:rPr>
              <w:t>5</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06" w:history="1">
            <w:r w:rsidR="0065505E" w:rsidRPr="00B65A5A">
              <w:rPr>
                <w:rStyle w:val="Hyperlink"/>
                <w:noProof/>
              </w:rPr>
              <w:t>PURPOSE &amp; NEED: THERE IS NO COMPELLING ECOLOGICAL RATIONALE FOR REMOVING LARGE TREES</w:t>
            </w:r>
            <w:r w:rsidR="0065505E">
              <w:rPr>
                <w:noProof/>
                <w:webHidden/>
              </w:rPr>
              <w:tab/>
            </w:r>
            <w:r w:rsidR="0065505E">
              <w:rPr>
                <w:noProof/>
                <w:webHidden/>
              </w:rPr>
              <w:fldChar w:fldCharType="begin"/>
            </w:r>
            <w:r w:rsidR="0065505E">
              <w:rPr>
                <w:noProof/>
                <w:webHidden/>
              </w:rPr>
              <w:instrText xml:space="preserve"> PAGEREF _Toc53483506 \h </w:instrText>
            </w:r>
            <w:r w:rsidR="0065505E">
              <w:rPr>
                <w:noProof/>
                <w:webHidden/>
              </w:rPr>
            </w:r>
            <w:r w:rsidR="0065505E">
              <w:rPr>
                <w:noProof/>
                <w:webHidden/>
              </w:rPr>
              <w:fldChar w:fldCharType="separate"/>
            </w:r>
            <w:r w:rsidR="0065505E">
              <w:rPr>
                <w:noProof/>
                <w:webHidden/>
              </w:rPr>
              <w:t>5</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07" w:history="1">
            <w:r w:rsidR="0065505E" w:rsidRPr="00B65A5A">
              <w:rPr>
                <w:rStyle w:val="Hyperlink"/>
                <w:noProof/>
              </w:rPr>
              <w:t>PURPOSE AND NEED: EA FLAWS</w:t>
            </w:r>
            <w:r w:rsidR="0065505E">
              <w:rPr>
                <w:noProof/>
                <w:webHidden/>
              </w:rPr>
              <w:tab/>
            </w:r>
            <w:r w:rsidR="0065505E">
              <w:rPr>
                <w:noProof/>
                <w:webHidden/>
              </w:rPr>
              <w:fldChar w:fldCharType="begin"/>
            </w:r>
            <w:r w:rsidR="0065505E">
              <w:rPr>
                <w:noProof/>
                <w:webHidden/>
              </w:rPr>
              <w:instrText xml:space="preserve"> PAGEREF _Toc53483507 \h </w:instrText>
            </w:r>
            <w:r w:rsidR="0065505E">
              <w:rPr>
                <w:noProof/>
                <w:webHidden/>
              </w:rPr>
            </w:r>
            <w:r w:rsidR="0065505E">
              <w:rPr>
                <w:noProof/>
                <w:webHidden/>
              </w:rPr>
              <w:fldChar w:fldCharType="separate"/>
            </w:r>
            <w:r w:rsidR="0065505E">
              <w:rPr>
                <w:noProof/>
                <w:webHidden/>
              </w:rPr>
              <w:t>9</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08" w:history="1">
            <w:r w:rsidR="0065505E" w:rsidRPr="00B65A5A">
              <w:rPr>
                <w:rStyle w:val="Hyperlink"/>
                <w:noProof/>
              </w:rPr>
              <w:t>PURPOSE AND NEED: CHANGING THE GOAL OF THE SCREENS FROM LARGE TREES TO OLD TREES VIOLATES A CORE PURPOSE OF THE SCREENS</w:t>
            </w:r>
            <w:r w:rsidR="0065505E">
              <w:rPr>
                <w:noProof/>
                <w:webHidden/>
              </w:rPr>
              <w:tab/>
            </w:r>
            <w:r w:rsidR="0065505E">
              <w:rPr>
                <w:noProof/>
                <w:webHidden/>
              </w:rPr>
              <w:fldChar w:fldCharType="begin"/>
            </w:r>
            <w:r w:rsidR="0065505E">
              <w:rPr>
                <w:noProof/>
                <w:webHidden/>
              </w:rPr>
              <w:instrText xml:space="preserve"> PAGEREF _Toc53483508 \h </w:instrText>
            </w:r>
            <w:r w:rsidR="0065505E">
              <w:rPr>
                <w:noProof/>
                <w:webHidden/>
              </w:rPr>
            </w:r>
            <w:r w:rsidR="0065505E">
              <w:rPr>
                <w:noProof/>
                <w:webHidden/>
              </w:rPr>
              <w:fldChar w:fldCharType="separate"/>
            </w:r>
            <w:r w:rsidR="0065505E">
              <w:rPr>
                <w:noProof/>
                <w:webHidden/>
              </w:rPr>
              <w:t>12</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09" w:history="1">
            <w:r w:rsidR="0065505E" w:rsidRPr="00B65A5A">
              <w:rPr>
                <w:rStyle w:val="Hyperlink"/>
                <w:noProof/>
              </w:rPr>
              <w:t>PREPARE AN EIS TO ADDRESS SIGNIFICANT EFFECTS</w:t>
            </w:r>
            <w:r w:rsidR="0065505E">
              <w:rPr>
                <w:noProof/>
                <w:webHidden/>
              </w:rPr>
              <w:tab/>
            </w:r>
            <w:r w:rsidR="0065505E">
              <w:rPr>
                <w:noProof/>
                <w:webHidden/>
              </w:rPr>
              <w:fldChar w:fldCharType="begin"/>
            </w:r>
            <w:r w:rsidR="0065505E">
              <w:rPr>
                <w:noProof/>
                <w:webHidden/>
              </w:rPr>
              <w:instrText xml:space="preserve"> PAGEREF _Toc53483509 \h </w:instrText>
            </w:r>
            <w:r w:rsidR="0065505E">
              <w:rPr>
                <w:noProof/>
                <w:webHidden/>
              </w:rPr>
            </w:r>
            <w:r w:rsidR="0065505E">
              <w:rPr>
                <w:noProof/>
                <w:webHidden/>
              </w:rPr>
              <w:fldChar w:fldCharType="separate"/>
            </w:r>
            <w:r w:rsidR="0065505E">
              <w:rPr>
                <w:noProof/>
                <w:webHidden/>
              </w:rPr>
              <w:t>17</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0" w:history="1">
            <w:r w:rsidR="0065505E" w:rsidRPr="00B65A5A">
              <w:rPr>
                <w:rStyle w:val="Hyperlink"/>
                <w:noProof/>
              </w:rPr>
              <w:t>CLIMATE CHANGE ADAPTATION AND MITIGATION</w:t>
            </w:r>
            <w:r w:rsidR="0065505E">
              <w:rPr>
                <w:noProof/>
                <w:webHidden/>
              </w:rPr>
              <w:tab/>
            </w:r>
            <w:r w:rsidR="0065505E">
              <w:rPr>
                <w:noProof/>
                <w:webHidden/>
              </w:rPr>
              <w:fldChar w:fldCharType="begin"/>
            </w:r>
            <w:r w:rsidR="0065505E">
              <w:rPr>
                <w:noProof/>
                <w:webHidden/>
              </w:rPr>
              <w:instrText xml:space="preserve"> PAGEREF _Toc53483510 \h </w:instrText>
            </w:r>
            <w:r w:rsidR="0065505E">
              <w:rPr>
                <w:noProof/>
                <w:webHidden/>
              </w:rPr>
            </w:r>
            <w:r w:rsidR="0065505E">
              <w:rPr>
                <w:noProof/>
                <w:webHidden/>
              </w:rPr>
              <w:fldChar w:fldCharType="separate"/>
            </w:r>
            <w:r w:rsidR="0065505E">
              <w:rPr>
                <w:noProof/>
                <w:webHidden/>
              </w:rPr>
              <w:t>18</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1" w:history="1">
            <w:r w:rsidR="0065505E" w:rsidRPr="00B65A5A">
              <w:rPr>
                <w:rStyle w:val="Hyperlink"/>
                <w:noProof/>
              </w:rPr>
              <w:t>NO ACTION</w:t>
            </w:r>
            <w:r w:rsidR="0065505E">
              <w:rPr>
                <w:noProof/>
                <w:webHidden/>
              </w:rPr>
              <w:tab/>
            </w:r>
            <w:r w:rsidR="0065505E">
              <w:rPr>
                <w:noProof/>
                <w:webHidden/>
              </w:rPr>
              <w:fldChar w:fldCharType="begin"/>
            </w:r>
            <w:r w:rsidR="0065505E">
              <w:rPr>
                <w:noProof/>
                <w:webHidden/>
              </w:rPr>
              <w:instrText xml:space="preserve"> PAGEREF _Toc53483511 \h </w:instrText>
            </w:r>
            <w:r w:rsidR="0065505E">
              <w:rPr>
                <w:noProof/>
                <w:webHidden/>
              </w:rPr>
            </w:r>
            <w:r w:rsidR="0065505E">
              <w:rPr>
                <w:noProof/>
                <w:webHidden/>
              </w:rPr>
              <w:fldChar w:fldCharType="separate"/>
            </w:r>
            <w:r w:rsidR="0065505E">
              <w:rPr>
                <w:noProof/>
                <w:webHidden/>
              </w:rPr>
              <w:t>19</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2" w:history="1">
            <w:r w:rsidR="0065505E" w:rsidRPr="00B65A5A">
              <w:rPr>
                <w:rStyle w:val="Hyperlink"/>
                <w:noProof/>
              </w:rPr>
              <w:t>PROPOSED ACTION</w:t>
            </w:r>
            <w:r w:rsidR="0065505E">
              <w:rPr>
                <w:noProof/>
                <w:webHidden/>
              </w:rPr>
              <w:tab/>
            </w:r>
            <w:r w:rsidR="0065505E">
              <w:rPr>
                <w:noProof/>
                <w:webHidden/>
              </w:rPr>
              <w:fldChar w:fldCharType="begin"/>
            </w:r>
            <w:r w:rsidR="0065505E">
              <w:rPr>
                <w:noProof/>
                <w:webHidden/>
              </w:rPr>
              <w:instrText xml:space="preserve"> PAGEREF _Toc53483512 \h </w:instrText>
            </w:r>
            <w:r w:rsidR="0065505E">
              <w:rPr>
                <w:noProof/>
                <w:webHidden/>
              </w:rPr>
            </w:r>
            <w:r w:rsidR="0065505E">
              <w:rPr>
                <w:noProof/>
                <w:webHidden/>
              </w:rPr>
              <w:fldChar w:fldCharType="separate"/>
            </w:r>
            <w:r w:rsidR="0065505E">
              <w:rPr>
                <w:noProof/>
                <w:webHidden/>
              </w:rPr>
              <w:t>21</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3" w:history="1">
            <w:r w:rsidR="0065505E" w:rsidRPr="00B65A5A">
              <w:rPr>
                <w:rStyle w:val="Hyperlink"/>
                <w:noProof/>
              </w:rPr>
              <w:t>REASONABLE ALTERNATIVES NOT CONSIDERED</w:t>
            </w:r>
            <w:r w:rsidR="0065505E">
              <w:rPr>
                <w:noProof/>
                <w:webHidden/>
              </w:rPr>
              <w:tab/>
            </w:r>
            <w:r w:rsidR="0065505E">
              <w:rPr>
                <w:noProof/>
                <w:webHidden/>
              </w:rPr>
              <w:fldChar w:fldCharType="begin"/>
            </w:r>
            <w:r w:rsidR="0065505E">
              <w:rPr>
                <w:noProof/>
                <w:webHidden/>
              </w:rPr>
              <w:instrText xml:space="preserve"> PAGEREF _Toc53483513 \h </w:instrText>
            </w:r>
            <w:r w:rsidR="0065505E">
              <w:rPr>
                <w:noProof/>
                <w:webHidden/>
              </w:rPr>
            </w:r>
            <w:r w:rsidR="0065505E">
              <w:rPr>
                <w:noProof/>
                <w:webHidden/>
              </w:rPr>
              <w:fldChar w:fldCharType="separate"/>
            </w:r>
            <w:r w:rsidR="0065505E">
              <w:rPr>
                <w:noProof/>
                <w:webHidden/>
              </w:rPr>
              <w:t>22</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4" w:history="1">
            <w:r w:rsidR="0065505E" w:rsidRPr="00B65A5A">
              <w:rPr>
                <w:rStyle w:val="Hyperlink"/>
                <w:noProof/>
              </w:rPr>
              <w:t>ESTIMATING TREE AGE UNDER PROPOSED ACTION</w:t>
            </w:r>
            <w:r w:rsidR="0065505E">
              <w:rPr>
                <w:noProof/>
                <w:webHidden/>
              </w:rPr>
              <w:tab/>
            </w:r>
            <w:r w:rsidR="0065505E">
              <w:rPr>
                <w:noProof/>
                <w:webHidden/>
              </w:rPr>
              <w:fldChar w:fldCharType="begin"/>
            </w:r>
            <w:r w:rsidR="0065505E">
              <w:rPr>
                <w:noProof/>
                <w:webHidden/>
              </w:rPr>
              <w:instrText xml:space="preserve"> PAGEREF _Toc53483514 \h </w:instrText>
            </w:r>
            <w:r w:rsidR="0065505E">
              <w:rPr>
                <w:noProof/>
                <w:webHidden/>
              </w:rPr>
            </w:r>
            <w:r w:rsidR="0065505E">
              <w:rPr>
                <w:noProof/>
                <w:webHidden/>
              </w:rPr>
              <w:fldChar w:fldCharType="separate"/>
            </w:r>
            <w:r w:rsidR="0065505E">
              <w:rPr>
                <w:noProof/>
                <w:webHidden/>
              </w:rPr>
              <w:t>44</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5" w:history="1">
            <w:r w:rsidR="0065505E" w:rsidRPr="00B65A5A">
              <w:rPr>
                <w:rStyle w:val="Hyperlink"/>
                <w:noProof/>
              </w:rPr>
              <w:t>ADAPTIVE MANAGEMENT UNDER PROPOSED ACTION</w:t>
            </w:r>
            <w:r w:rsidR="0065505E">
              <w:rPr>
                <w:noProof/>
                <w:webHidden/>
              </w:rPr>
              <w:tab/>
            </w:r>
            <w:r w:rsidR="0065505E">
              <w:rPr>
                <w:noProof/>
                <w:webHidden/>
              </w:rPr>
              <w:fldChar w:fldCharType="begin"/>
            </w:r>
            <w:r w:rsidR="0065505E">
              <w:rPr>
                <w:noProof/>
                <w:webHidden/>
              </w:rPr>
              <w:instrText xml:space="preserve"> PAGEREF _Toc53483515 \h </w:instrText>
            </w:r>
            <w:r w:rsidR="0065505E">
              <w:rPr>
                <w:noProof/>
                <w:webHidden/>
              </w:rPr>
            </w:r>
            <w:r w:rsidR="0065505E">
              <w:rPr>
                <w:noProof/>
                <w:webHidden/>
              </w:rPr>
              <w:fldChar w:fldCharType="separate"/>
            </w:r>
            <w:r w:rsidR="0065505E">
              <w:rPr>
                <w:noProof/>
                <w:webHidden/>
              </w:rPr>
              <w:t>45</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6" w:history="1">
            <w:r w:rsidR="0065505E" w:rsidRPr="00B65A5A">
              <w:rPr>
                <w:rStyle w:val="Hyperlink"/>
                <w:noProof/>
              </w:rPr>
              <w:t>NFMA REQUIREMENTS – WILDLIFE AND CARBON</w:t>
            </w:r>
            <w:r w:rsidR="0065505E">
              <w:rPr>
                <w:noProof/>
                <w:webHidden/>
              </w:rPr>
              <w:tab/>
            </w:r>
            <w:r w:rsidR="0065505E">
              <w:rPr>
                <w:noProof/>
                <w:webHidden/>
              </w:rPr>
              <w:fldChar w:fldCharType="begin"/>
            </w:r>
            <w:r w:rsidR="0065505E">
              <w:rPr>
                <w:noProof/>
                <w:webHidden/>
              </w:rPr>
              <w:instrText xml:space="preserve"> PAGEREF _Toc53483516 \h </w:instrText>
            </w:r>
            <w:r w:rsidR="0065505E">
              <w:rPr>
                <w:noProof/>
                <w:webHidden/>
              </w:rPr>
            </w:r>
            <w:r w:rsidR="0065505E">
              <w:rPr>
                <w:noProof/>
                <w:webHidden/>
              </w:rPr>
              <w:fldChar w:fldCharType="separate"/>
            </w:r>
            <w:r w:rsidR="0065505E">
              <w:rPr>
                <w:noProof/>
                <w:webHidden/>
              </w:rPr>
              <w:t>46</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7" w:history="1">
            <w:r w:rsidR="0065505E" w:rsidRPr="00B65A5A">
              <w:rPr>
                <w:rStyle w:val="Hyperlink"/>
                <w:noProof/>
              </w:rPr>
              <w:t>ANALYSIS METHODS</w:t>
            </w:r>
            <w:r w:rsidR="0065505E">
              <w:rPr>
                <w:noProof/>
                <w:webHidden/>
              </w:rPr>
              <w:tab/>
            </w:r>
            <w:r w:rsidR="0065505E">
              <w:rPr>
                <w:noProof/>
                <w:webHidden/>
              </w:rPr>
              <w:fldChar w:fldCharType="begin"/>
            </w:r>
            <w:r w:rsidR="0065505E">
              <w:rPr>
                <w:noProof/>
                <w:webHidden/>
              </w:rPr>
              <w:instrText xml:space="preserve"> PAGEREF _Toc53483517 \h </w:instrText>
            </w:r>
            <w:r w:rsidR="0065505E">
              <w:rPr>
                <w:noProof/>
                <w:webHidden/>
              </w:rPr>
            </w:r>
            <w:r w:rsidR="0065505E">
              <w:rPr>
                <w:noProof/>
                <w:webHidden/>
              </w:rPr>
              <w:fldChar w:fldCharType="separate"/>
            </w:r>
            <w:r w:rsidR="0065505E">
              <w:rPr>
                <w:noProof/>
                <w:webHidden/>
              </w:rPr>
              <w:t>47</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8" w:history="1">
            <w:r w:rsidR="0065505E" w:rsidRPr="00B65A5A">
              <w:rPr>
                <w:rStyle w:val="Hyperlink"/>
                <w:noProof/>
              </w:rPr>
              <w:t>INDICATORS AND MEASURES</w:t>
            </w:r>
            <w:r w:rsidR="0065505E">
              <w:rPr>
                <w:noProof/>
                <w:webHidden/>
              </w:rPr>
              <w:tab/>
            </w:r>
            <w:r w:rsidR="0065505E">
              <w:rPr>
                <w:noProof/>
                <w:webHidden/>
              </w:rPr>
              <w:fldChar w:fldCharType="begin"/>
            </w:r>
            <w:r w:rsidR="0065505E">
              <w:rPr>
                <w:noProof/>
                <w:webHidden/>
              </w:rPr>
              <w:instrText xml:space="preserve"> PAGEREF _Toc53483518 \h </w:instrText>
            </w:r>
            <w:r w:rsidR="0065505E">
              <w:rPr>
                <w:noProof/>
                <w:webHidden/>
              </w:rPr>
            </w:r>
            <w:r w:rsidR="0065505E">
              <w:rPr>
                <w:noProof/>
                <w:webHidden/>
              </w:rPr>
              <w:fldChar w:fldCharType="separate"/>
            </w:r>
            <w:r w:rsidR="0065505E">
              <w:rPr>
                <w:noProof/>
                <w:webHidden/>
              </w:rPr>
              <w:t>48</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19" w:history="1">
            <w:r w:rsidR="0065505E" w:rsidRPr="00B65A5A">
              <w:rPr>
                <w:rStyle w:val="Hyperlink"/>
                <w:noProof/>
              </w:rPr>
              <w:t>FVS MODELLING PROBLEMS</w:t>
            </w:r>
            <w:r w:rsidR="0065505E">
              <w:rPr>
                <w:noProof/>
                <w:webHidden/>
              </w:rPr>
              <w:tab/>
            </w:r>
            <w:r w:rsidR="0065505E">
              <w:rPr>
                <w:noProof/>
                <w:webHidden/>
              </w:rPr>
              <w:fldChar w:fldCharType="begin"/>
            </w:r>
            <w:r w:rsidR="0065505E">
              <w:rPr>
                <w:noProof/>
                <w:webHidden/>
              </w:rPr>
              <w:instrText xml:space="preserve"> PAGEREF _Toc53483519 \h </w:instrText>
            </w:r>
            <w:r w:rsidR="0065505E">
              <w:rPr>
                <w:noProof/>
                <w:webHidden/>
              </w:rPr>
            </w:r>
            <w:r w:rsidR="0065505E">
              <w:rPr>
                <w:noProof/>
                <w:webHidden/>
              </w:rPr>
              <w:fldChar w:fldCharType="separate"/>
            </w:r>
            <w:r w:rsidR="0065505E">
              <w:rPr>
                <w:noProof/>
                <w:webHidden/>
              </w:rPr>
              <w:t>49</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0" w:history="1">
            <w:r w:rsidR="0065505E" w:rsidRPr="00B65A5A">
              <w:rPr>
                <w:rStyle w:val="Hyperlink"/>
                <w:noProof/>
              </w:rPr>
              <w:t>QUESTIONABLE ASSUMPTIONS USED IN ANALYSIS</w:t>
            </w:r>
            <w:r w:rsidR="0065505E">
              <w:rPr>
                <w:noProof/>
                <w:webHidden/>
              </w:rPr>
              <w:tab/>
            </w:r>
            <w:r w:rsidR="0065505E">
              <w:rPr>
                <w:noProof/>
                <w:webHidden/>
              </w:rPr>
              <w:fldChar w:fldCharType="begin"/>
            </w:r>
            <w:r w:rsidR="0065505E">
              <w:rPr>
                <w:noProof/>
                <w:webHidden/>
              </w:rPr>
              <w:instrText xml:space="preserve"> PAGEREF _Toc53483520 \h </w:instrText>
            </w:r>
            <w:r w:rsidR="0065505E">
              <w:rPr>
                <w:noProof/>
                <w:webHidden/>
              </w:rPr>
            </w:r>
            <w:r w:rsidR="0065505E">
              <w:rPr>
                <w:noProof/>
                <w:webHidden/>
              </w:rPr>
              <w:fldChar w:fldCharType="separate"/>
            </w:r>
            <w:r w:rsidR="0065505E">
              <w:rPr>
                <w:noProof/>
                <w:webHidden/>
              </w:rPr>
              <w:t>51</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1" w:history="1">
            <w:r w:rsidR="0065505E" w:rsidRPr="00B65A5A">
              <w:rPr>
                <w:rStyle w:val="Hyperlink"/>
                <w:noProof/>
              </w:rPr>
              <w:t>AFFECTED ENVIRONMENT</w:t>
            </w:r>
            <w:r w:rsidR="0065505E">
              <w:rPr>
                <w:noProof/>
                <w:webHidden/>
              </w:rPr>
              <w:tab/>
            </w:r>
            <w:r w:rsidR="0065505E">
              <w:rPr>
                <w:noProof/>
                <w:webHidden/>
              </w:rPr>
              <w:fldChar w:fldCharType="begin"/>
            </w:r>
            <w:r w:rsidR="0065505E">
              <w:rPr>
                <w:noProof/>
                <w:webHidden/>
              </w:rPr>
              <w:instrText xml:space="preserve"> PAGEREF _Toc53483521 \h </w:instrText>
            </w:r>
            <w:r w:rsidR="0065505E">
              <w:rPr>
                <w:noProof/>
                <w:webHidden/>
              </w:rPr>
            </w:r>
            <w:r w:rsidR="0065505E">
              <w:rPr>
                <w:noProof/>
                <w:webHidden/>
              </w:rPr>
              <w:fldChar w:fldCharType="separate"/>
            </w:r>
            <w:r w:rsidR="0065505E">
              <w:rPr>
                <w:noProof/>
                <w:webHidden/>
              </w:rPr>
              <w:t>53</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2" w:history="1">
            <w:r w:rsidR="0065505E" w:rsidRPr="00B65A5A">
              <w:rPr>
                <w:rStyle w:val="Hyperlink"/>
                <w:noProof/>
              </w:rPr>
              <w:t>ENVIRONMENTAL EFFECTS</w:t>
            </w:r>
            <w:r w:rsidR="0065505E">
              <w:rPr>
                <w:noProof/>
                <w:webHidden/>
              </w:rPr>
              <w:tab/>
            </w:r>
            <w:r w:rsidR="0065505E">
              <w:rPr>
                <w:noProof/>
                <w:webHidden/>
              </w:rPr>
              <w:fldChar w:fldCharType="begin"/>
            </w:r>
            <w:r w:rsidR="0065505E">
              <w:rPr>
                <w:noProof/>
                <w:webHidden/>
              </w:rPr>
              <w:instrText xml:space="preserve"> PAGEREF _Toc53483522 \h </w:instrText>
            </w:r>
            <w:r w:rsidR="0065505E">
              <w:rPr>
                <w:noProof/>
                <w:webHidden/>
              </w:rPr>
            </w:r>
            <w:r w:rsidR="0065505E">
              <w:rPr>
                <w:noProof/>
                <w:webHidden/>
              </w:rPr>
              <w:fldChar w:fldCharType="separate"/>
            </w:r>
            <w:r w:rsidR="0065505E">
              <w:rPr>
                <w:noProof/>
                <w:webHidden/>
              </w:rPr>
              <w:t>54</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3" w:history="1">
            <w:r w:rsidR="0065505E" w:rsidRPr="00B65A5A">
              <w:rPr>
                <w:rStyle w:val="Hyperlink"/>
                <w:noProof/>
              </w:rPr>
              <w:t>ENVIRONMENTAL EFFECTS – LARGE TREES, OLD TREES</w:t>
            </w:r>
            <w:r w:rsidR="0065505E">
              <w:rPr>
                <w:noProof/>
                <w:webHidden/>
              </w:rPr>
              <w:tab/>
            </w:r>
            <w:r w:rsidR="0065505E">
              <w:rPr>
                <w:noProof/>
                <w:webHidden/>
              </w:rPr>
              <w:fldChar w:fldCharType="begin"/>
            </w:r>
            <w:r w:rsidR="0065505E">
              <w:rPr>
                <w:noProof/>
                <w:webHidden/>
              </w:rPr>
              <w:instrText xml:space="preserve"> PAGEREF _Toc53483523 \h </w:instrText>
            </w:r>
            <w:r w:rsidR="0065505E">
              <w:rPr>
                <w:noProof/>
                <w:webHidden/>
              </w:rPr>
            </w:r>
            <w:r w:rsidR="0065505E">
              <w:rPr>
                <w:noProof/>
                <w:webHidden/>
              </w:rPr>
              <w:fldChar w:fldCharType="separate"/>
            </w:r>
            <w:r w:rsidR="0065505E">
              <w:rPr>
                <w:noProof/>
                <w:webHidden/>
              </w:rPr>
              <w:t>55</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4" w:history="1">
            <w:r w:rsidR="0065505E" w:rsidRPr="00B65A5A">
              <w:rPr>
                <w:rStyle w:val="Hyperlink"/>
                <w:noProof/>
              </w:rPr>
              <w:t>ENVIRONMENTAL EFFECTS – DISTURBANCE REGIMES</w:t>
            </w:r>
            <w:r w:rsidR="0065505E">
              <w:rPr>
                <w:noProof/>
                <w:webHidden/>
              </w:rPr>
              <w:tab/>
            </w:r>
            <w:r w:rsidR="0065505E">
              <w:rPr>
                <w:noProof/>
                <w:webHidden/>
              </w:rPr>
              <w:fldChar w:fldCharType="begin"/>
            </w:r>
            <w:r w:rsidR="0065505E">
              <w:rPr>
                <w:noProof/>
                <w:webHidden/>
              </w:rPr>
              <w:instrText xml:space="preserve"> PAGEREF _Toc53483524 \h </w:instrText>
            </w:r>
            <w:r w:rsidR="0065505E">
              <w:rPr>
                <w:noProof/>
                <w:webHidden/>
              </w:rPr>
            </w:r>
            <w:r w:rsidR="0065505E">
              <w:rPr>
                <w:noProof/>
                <w:webHidden/>
              </w:rPr>
              <w:fldChar w:fldCharType="separate"/>
            </w:r>
            <w:r w:rsidR="0065505E">
              <w:rPr>
                <w:noProof/>
                <w:webHidden/>
              </w:rPr>
              <w:t>56</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5" w:history="1">
            <w:r w:rsidR="0065505E" w:rsidRPr="00B65A5A">
              <w:rPr>
                <w:rStyle w:val="Hyperlink"/>
                <w:noProof/>
              </w:rPr>
              <w:t>SOCIAL AND ECONOMIC ANALYSIS</w:t>
            </w:r>
            <w:r w:rsidR="0065505E">
              <w:rPr>
                <w:noProof/>
                <w:webHidden/>
              </w:rPr>
              <w:tab/>
            </w:r>
            <w:r w:rsidR="0065505E">
              <w:rPr>
                <w:noProof/>
                <w:webHidden/>
              </w:rPr>
              <w:fldChar w:fldCharType="begin"/>
            </w:r>
            <w:r w:rsidR="0065505E">
              <w:rPr>
                <w:noProof/>
                <w:webHidden/>
              </w:rPr>
              <w:instrText xml:space="preserve"> PAGEREF _Toc53483525 \h </w:instrText>
            </w:r>
            <w:r w:rsidR="0065505E">
              <w:rPr>
                <w:noProof/>
                <w:webHidden/>
              </w:rPr>
            </w:r>
            <w:r w:rsidR="0065505E">
              <w:rPr>
                <w:noProof/>
                <w:webHidden/>
              </w:rPr>
              <w:fldChar w:fldCharType="separate"/>
            </w:r>
            <w:r w:rsidR="0065505E">
              <w:rPr>
                <w:noProof/>
                <w:webHidden/>
              </w:rPr>
              <w:t>57</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6" w:history="1">
            <w:r w:rsidR="0065505E" w:rsidRPr="00B65A5A">
              <w:rPr>
                <w:rStyle w:val="Hyperlink"/>
                <w:noProof/>
              </w:rPr>
              <w:t>RIPARIAN AND AQUATIC ANALYSIS</w:t>
            </w:r>
            <w:r w:rsidR="0065505E">
              <w:rPr>
                <w:noProof/>
                <w:webHidden/>
              </w:rPr>
              <w:tab/>
            </w:r>
            <w:r w:rsidR="0065505E">
              <w:rPr>
                <w:noProof/>
                <w:webHidden/>
              </w:rPr>
              <w:fldChar w:fldCharType="begin"/>
            </w:r>
            <w:r w:rsidR="0065505E">
              <w:rPr>
                <w:noProof/>
                <w:webHidden/>
              </w:rPr>
              <w:instrText xml:space="preserve"> PAGEREF _Toc53483526 \h </w:instrText>
            </w:r>
            <w:r w:rsidR="0065505E">
              <w:rPr>
                <w:noProof/>
                <w:webHidden/>
              </w:rPr>
            </w:r>
            <w:r w:rsidR="0065505E">
              <w:rPr>
                <w:noProof/>
                <w:webHidden/>
              </w:rPr>
              <w:fldChar w:fldCharType="separate"/>
            </w:r>
            <w:r w:rsidR="0065505E">
              <w:rPr>
                <w:noProof/>
                <w:webHidden/>
              </w:rPr>
              <w:t>58</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7" w:history="1">
            <w:r w:rsidR="0065505E" w:rsidRPr="00B65A5A">
              <w:rPr>
                <w:rStyle w:val="Hyperlink"/>
                <w:noProof/>
              </w:rPr>
              <w:t>SNAG AND GREEN TREE RETENTION AMENDMENT</w:t>
            </w:r>
            <w:r w:rsidR="0065505E">
              <w:rPr>
                <w:noProof/>
                <w:webHidden/>
              </w:rPr>
              <w:tab/>
            </w:r>
            <w:r w:rsidR="0065505E">
              <w:rPr>
                <w:noProof/>
                <w:webHidden/>
              </w:rPr>
              <w:fldChar w:fldCharType="begin"/>
            </w:r>
            <w:r w:rsidR="0065505E">
              <w:rPr>
                <w:noProof/>
                <w:webHidden/>
              </w:rPr>
              <w:instrText xml:space="preserve"> PAGEREF _Toc53483527 \h </w:instrText>
            </w:r>
            <w:r w:rsidR="0065505E">
              <w:rPr>
                <w:noProof/>
                <w:webHidden/>
              </w:rPr>
            </w:r>
            <w:r w:rsidR="0065505E">
              <w:rPr>
                <w:noProof/>
                <w:webHidden/>
              </w:rPr>
              <w:fldChar w:fldCharType="separate"/>
            </w:r>
            <w:r w:rsidR="0065505E">
              <w:rPr>
                <w:noProof/>
                <w:webHidden/>
              </w:rPr>
              <w:t>60</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8" w:history="1">
            <w:r w:rsidR="0065505E" w:rsidRPr="00B65A5A">
              <w:rPr>
                <w:rStyle w:val="Hyperlink"/>
                <w:noProof/>
              </w:rPr>
              <w:t>SNAGS AND DOWN WOOD EFFECTS ANALYSIS</w:t>
            </w:r>
            <w:r w:rsidR="0065505E">
              <w:rPr>
                <w:noProof/>
                <w:webHidden/>
              </w:rPr>
              <w:tab/>
            </w:r>
            <w:r w:rsidR="0065505E">
              <w:rPr>
                <w:noProof/>
                <w:webHidden/>
              </w:rPr>
              <w:fldChar w:fldCharType="begin"/>
            </w:r>
            <w:r w:rsidR="0065505E">
              <w:rPr>
                <w:noProof/>
                <w:webHidden/>
              </w:rPr>
              <w:instrText xml:space="preserve"> PAGEREF _Toc53483528 \h </w:instrText>
            </w:r>
            <w:r w:rsidR="0065505E">
              <w:rPr>
                <w:noProof/>
                <w:webHidden/>
              </w:rPr>
            </w:r>
            <w:r w:rsidR="0065505E">
              <w:rPr>
                <w:noProof/>
                <w:webHidden/>
              </w:rPr>
              <w:fldChar w:fldCharType="separate"/>
            </w:r>
            <w:r w:rsidR="0065505E">
              <w:rPr>
                <w:noProof/>
                <w:webHidden/>
              </w:rPr>
              <w:t>63</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29" w:history="1">
            <w:r w:rsidR="0065505E" w:rsidRPr="00B65A5A">
              <w:rPr>
                <w:rStyle w:val="Hyperlink"/>
                <w:noProof/>
              </w:rPr>
              <w:t>REMOVING LARGE TREES WILL EXACERBATE THE SHORTAGE OF LARGE SNAGS.</w:t>
            </w:r>
            <w:r w:rsidR="0065505E">
              <w:rPr>
                <w:noProof/>
                <w:webHidden/>
              </w:rPr>
              <w:tab/>
            </w:r>
            <w:r w:rsidR="0065505E">
              <w:rPr>
                <w:noProof/>
                <w:webHidden/>
              </w:rPr>
              <w:fldChar w:fldCharType="begin"/>
            </w:r>
            <w:r w:rsidR="0065505E">
              <w:rPr>
                <w:noProof/>
                <w:webHidden/>
              </w:rPr>
              <w:instrText xml:space="preserve"> PAGEREF _Toc53483529 \h </w:instrText>
            </w:r>
            <w:r w:rsidR="0065505E">
              <w:rPr>
                <w:noProof/>
                <w:webHidden/>
              </w:rPr>
            </w:r>
            <w:r w:rsidR="0065505E">
              <w:rPr>
                <w:noProof/>
                <w:webHidden/>
              </w:rPr>
              <w:fldChar w:fldCharType="separate"/>
            </w:r>
            <w:r w:rsidR="0065505E">
              <w:rPr>
                <w:noProof/>
                <w:webHidden/>
              </w:rPr>
              <w:t>76</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30" w:history="1">
            <w:r w:rsidR="0065505E" w:rsidRPr="00B65A5A">
              <w:rPr>
                <w:rStyle w:val="Hyperlink"/>
                <w:noProof/>
              </w:rPr>
              <w:t>LOS-ASSOCIATED WILDLIFE EFFECTS ANALYSIS</w:t>
            </w:r>
            <w:r w:rsidR="0065505E">
              <w:rPr>
                <w:noProof/>
                <w:webHidden/>
              </w:rPr>
              <w:tab/>
            </w:r>
            <w:r w:rsidR="0065505E">
              <w:rPr>
                <w:noProof/>
                <w:webHidden/>
              </w:rPr>
              <w:fldChar w:fldCharType="begin"/>
            </w:r>
            <w:r w:rsidR="0065505E">
              <w:rPr>
                <w:noProof/>
                <w:webHidden/>
              </w:rPr>
              <w:instrText xml:space="preserve"> PAGEREF _Toc53483530 \h </w:instrText>
            </w:r>
            <w:r w:rsidR="0065505E">
              <w:rPr>
                <w:noProof/>
                <w:webHidden/>
              </w:rPr>
            </w:r>
            <w:r w:rsidR="0065505E">
              <w:rPr>
                <w:noProof/>
                <w:webHidden/>
              </w:rPr>
              <w:fldChar w:fldCharType="separate"/>
            </w:r>
            <w:r w:rsidR="0065505E">
              <w:rPr>
                <w:noProof/>
                <w:webHidden/>
              </w:rPr>
              <w:t>90</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31" w:history="1">
            <w:r w:rsidR="0065505E" w:rsidRPr="00B65A5A">
              <w:rPr>
                <w:rStyle w:val="Hyperlink"/>
                <w:noProof/>
              </w:rPr>
              <w:t>MEADOW ENCROACHMENT EFFECTS ANALYSIS</w:t>
            </w:r>
            <w:r w:rsidR="0065505E">
              <w:rPr>
                <w:noProof/>
                <w:webHidden/>
              </w:rPr>
              <w:tab/>
            </w:r>
            <w:r w:rsidR="0065505E">
              <w:rPr>
                <w:noProof/>
                <w:webHidden/>
              </w:rPr>
              <w:fldChar w:fldCharType="begin"/>
            </w:r>
            <w:r w:rsidR="0065505E">
              <w:rPr>
                <w:noProof/>
                <w:webHidden/>
              </w:rPr>
              <w:instrText xml:space="preserve"> PAGEREF _Toc53483531 \h </w:instrText>
            </w:r>
            <w:r w:rsidR="0065505E">
              <w:rPr>
                <w:noProof/>
                <w:webHidden/>
              </w:rPr>
            </w:r>
            <w:r w:rsidR="0065505E">
              <w:rPr>
                <w:noProof/>
                <w:webHidden/>
              </w:rPr>
              <w:fldChar w:fldCharType="separate"/>
            </w:r>
            <w:r w:rsidR="0065505E">
              <w:rPr>
                <w:noProof/>
                <w:webHidden/>
              </w:rPr>
              <w:t>91</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32" w:history="1">
            <w:r w:rsidR="0065505E" w:rsidRPr="00B65A5A">
              <w:rPr>
                <w:rStyle w:val="Hyperlink"/>
                <w:noProof/>
              </w:rPr>
              <w:t>DEER AND ELK EFFECTS ANALYSIS</w:t>
            </w:r>
            <w:r w:rsidR="0065505E">
              <w:rPr>
                <w:noProof/>
                <w:webHidden/>
              </w:rPr>
              <w:tab/>
            </w:r>
            <w:r w:rsidR="0065505E">
              <w:rPr>
                <w:noProof/>
                <w:webHidden/>
              </w:rPr>
              <w:fldChar w:fldCharType="begin"/>
            </w:r>
            <w:r w:rsidR="0065505E">
              <w:rPr>
                <w:noProof/>
                <w:webHidden/>
              </w:rPr>
              <w:instrText xml:space="preserve"> PAGEREF _Toc53483532 \h </w:instrText>
            </w:r>
            <w:r w:rsidR="0065505E">
              <w:rPr>
                <w:noProof/>
                <w:webHidden/>
              </w:rPr>
            </w:r>
            <w:r w:rsidR="0065505E">
              <w:rPr>
                <w:noProof/>
                <w:webHidden/>
              </w:rPr>
              <w:fldChar w:fldCharType="separate"/>
            </w:r>
            <w:r w:rsidR="0065505E">
              <w:rPr>
                <w:noProof/>
                <w:webHidden/>
              </w:rPr>
              <w:t>91</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33" w:history="1">
            <w:r w:rsidR="0065505E" w:rsidRPr="00B65A5A">
              <w:rPr>
                <w:rStyle w:val="Hyperlink"/>
                <w:noProof/>
              </w:rPr>
              <w:t>HABITAT SUSTAINABILITY AND RESILIENCY EFFECTS ANALYSIS</w:t>
            </w:r>
            <w:r w:rsidR="0065505E">
              <w:rPr>
                <w:noProof/>
                <w:webHidden/>
              </w:rPr>
              <w:tab/>
            </w:r>
            <w:r w:rsidR="0065505E">
              <w:rPr>
                <w:noProof/>
                <w:webHidden/>
              </w:rPr>
              <w:fldChar w:fldCharType="begin"/>
            </w:r>
            <w:r w:rsidR="0065505E">
              <w:rPr>
                <w:noProof/>
                <w:webHidden/>
              </w:rPr>
              <w:instrText xml:space="preserve"> PAGEREF _Toc53483533 \h </w:instrText>
            </w:r>
            <w:r w:rsidR="0065505E">
              <w:rPr>
                <w:noProof/>
                <w:webHidden/>
              </w:rPr>
            </w:r>
            <w:r w:rsidR="0065505E">
              <w:rPr>
                <w:noProof/>
                <w:webHidden/>
              </w:rPr>
              <w:fldChar w:fldCharType="separate"/>
            </w:r>
            <w:r w:rsidR="0065505E">
              <w:rPr>
                <w:noProof/>
                <w:webHidden/>
              </w:rPr>
              <w:t>92</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34" w:history="1">
            <w:r w:rsidR="0065505E" w:rsidRPr="00B65A5A">
              <w:rPr>
                <w:rStyle w:val="Hyperlink"/>
                <w:noProof/>
              </w:rPr>
              <w:t>CUMULATIVE EFFECTS</w:t>
            </w:r>
            <w:r w:rsidR="0065505E">
              <w:rPr>
                <w:noProof/>
                <w:webHidden/>
              </w:rPr>
              <w:tab/>
            </w:r>
            <w:r w:rsidR="0065505E">
              <w:rPr>
                <w:noProof/>
                <w:webHidden/>
              </w:rPr>
              <w:fldChar w:fldCharType="begin"/>
            </w:r>
            <w:r w:rsidR="0065505E">
              <w:rPr>
                <w:noProof/>
                <w:webHidden/>
              </w:rPr>
              <w:instrText xml:space="preserve"> PAGEREF _Toc53483534 \h </w:instrText>
            </w:r>
            <w:r w:rsidR="0065505E">
              <w:rPr>
                <w:noProof/>
                <w:webHidden/>
              </w:rPr>
            </w:r>
            <w:r w:rsidR="0065505E">
              <w:rPr>
                <w:noProof/>
                <w:webHidden/>
              </w:rPr>
              <w:fldChar w:fldCharType="separate"/>
            </w:r>
            <w:r w:rsidR="0065505E">
              <w:rPr>
                <w:noProof/>
                <w:webHidden/>
              </w:rPr>
              <w:t>93</w:t>
            </w:r>
            <w:r w:rsidR="0065505E">
              <w:rPr>
                <w:noProof/>
                <w:webHidden/>
              </w:rPr>
              <w:fldChar w:fldCharType="end"/>
            </w:r>
          </w:hyperlink>
        </w:p>
        <w:p w:rsidR="0065505E" w:rsidRDefault="00347CB8">
          <w:pPr>
            <w:pStyle w:val="TOC2"/>
            <w:tabs>
              <w:tab w:val="right" w:leader="dot" w:pos="9350"/>
            </w:tabs>
            <w:rPr>
              <w:rFonts w:asciiTheme="minorHAnsi" w:eastAsiaTheme="minorEastAsia" w:hAnsiTheme="minorHAnsi" w:cstheme="minorBidi"/>
              <w:noProof/>
              <w:sz w:val="22"/>
              <w:szCs w:val="22"/>
            </w:rPr>
          </w:pPr>
          <w:hyperlink w:anchor="_Toc53483535" w:history="1">
            <w:r w:rsidR="0065505E" w:rsidRPr="00B65A5A">
              <w:rPr>
                <w:rStyle w:val="Hyperlink"/>
                <w:noProof/>
              </w:rPr>
              <w:t>PORTIONS OF THE SCIENCE WHITEPAPER ARE FLAWED.</w:t>
            </w:r>
            <w:r w:rsidR="0065505E">
              <w:rPr>
                <w:noProof/>
                <w:webHidden/>
              </w:rPr>
              <w:tab/>
            </w:r>
            <w:r w:rsidR="0065505E">
              <w:rPr>
                <w:noProof/>
                <w:webHidden/>
              </w:rPr>
              <w:fldChar w:fldCharType="begin"/>
            </w:r>
            <w:r w:rsidR="0065505E">
              <w:rPr>
                <w:noProof/>
                <w:webHidden/>
              </w:rPr>
              <w:instrText xml:space="preserve"> PAGEREF _Toc53483535 \h </w:instrText>
            </w:r>
            <w:r w:rsidR="0065505E">
              <w:rPr>
                <w:noProof/>
                <w:webHidden/>
              </w:rPr>
            </w:r>
            <w:r w:rsidR="0065505E">
              <w:rPr>
                <w:noProof/>
                <w:webHidden/>
              </w:rPr>
              <w:fldChar w:fldCharType="separate"/>
            </w:r>
            <w:r w:rsidR="0065505E">
              <w:rPr>
                <w:noProof/>
                <w:webHidden/>
              </w:rPr>
              <w:t>93</w:t>
            </w:r>
            <w:r w:rsidR="0065505E">
              <w:rPr>
                <w:noProof/>
                <w:webHidden/>
              </w:rPr>
              <w:fldChar w:fldCharType="end"/>
            </w:r>
          </w:hyperlink>
        </w:p>
        <w:p w:rsidR="00193B64" w:rsidRDefault="00193B64">
          <w:r>
            <w:rPr>
              <w:b/>
              <w:bCs/>
              <w:noProof/>
            </w:rPr>
            <w:fldChar w:fldCharType="end"/>
          </w:r>
        </w:p>
      </w:sdtContent>
    </w:sdt>
    <w:p w:rsidR="0054296B" w:rsidRDefault="00396D09" w:rsidP="0054296B">
      <w:pPr>
        <w:pStyle w:val="Heading2"/>
      </w:pPr>
      <w:bookmarkStart w:id="0" w:name="_Toc40443484"/>
      <w:bookmarkStart w:id="1" w:name="_Toc53483503"/>
      <w:r>
        <w:t>INTRODUCTION</w:t>
      </w:r>
      <w:bookmarkEnd w:id="0"/>
      <w:bookmarkEnd w:id="1"/>
    </w:p>
    <w:p w:rsidR="003D1ABA" w:rsidRDefault="003D1ABA" w:rsidP="003D1ABA">
      <w:r>
        <w:t xml:space="preserve">The diameter limits in the Eastside Screens are among the most ecologically important and publicly popular aspects of current forest management in eastern Oregon. Clear sideboards help the FS “stay in its lane” and stay out of trouble. The Screens help prevent conflicts of interest (such as pressure to meet timber targets) from interfering with important ecological goals that don’t return dollars to the FS budget. </w:t>
      </w:r>
    </w:p>
    <w:p w:rsidR="003D1ABA" w:rsidRDefault="003D1ABA" w:rsidP="0054296B"/>
    <w:p w:rsidR="0054296B" w:rsidRDefault="0054296B" w:rsidP="0054296B">
      <w:r w:rsidRPr="00A31583">
        <w:lastRenderedPageBreak/>
        <w:t>The propo</w:t>
      </w:r>
      <w:r>
        <w:t>sed action involves amending the LRMPs for the National Forests in ea</w:t>
      </w:r>
      <w:r w:rsidRPr="00896094">
        <w:t>stern Oregon to “to revise a provision that limits harvesting trees larger than 21 inches in diameter</w:t>
      </w:r>
      <w:r>
        <w:t xml:space="preserve"> … </w:t>
      </w:r>
      <w:r w:rsidRPr="00896094">
        <w:t>in light of current forest conditions and the latest scientific understanding of forest management in areas that have frequent disturbances</w:t>
      </w:r>
      <w:r>
        <w:t>.</w:t>
      </w:r>
      <w:r w:rsidRPr="00896094">
        <w:t xml:space="preserve">” </w:t>
      </w:r>
    </w:p>
    <w:p w:rsidR="0054296B" w:rsidRDefault="0054296B" w:rsidP="0054296B"/>
    <w:p w:rsidR="0054296B" w:rsidRDefault="0054296B" w:rsidP="0054296B">
      <w:r>
        <w:t>We find no compelling ecological rationale for this plan amendment. The Eastside Screens, especially the large tree retention requirement, remains well-founded. Removing large trees has marginal benefits, and significant negative trade-offs. The Forest Service can meet virtually all of its forest management goals attributed to this proposal by focusing on reducing the density of small young trees. There are many reasons to retain large trees, including for habitat, carbon storage, and fire hazard reduction. Before allowing commercial removal of large trees, there are many alternatives that the Forest Service should consider, including: letting natural competition sort things out and let the fittest trees survive; kill large, young white fir trees in direct competition with legacy Ponderosa pine trees and retain those trees on-site as snags, down wood, or habitat features, or use them elsewhere on the landscape where large wood is scarce; or allow large young trees to be used for tribal cultural purposes.</w:t>
      </w:r>
    </w:p>
    <w:p w:rsidR="0054296B" w:rsidRDefault="0054296B" w:rsidP="0054296B"/>
    <w:p w:rsidR="0054296B" w:rsidRDefault="0054296B" w:rsidP="0054296B">
      <w:r>
        <w:t xml:space="preserve">We are concerned that the lack of rationale for this plan amendment contrasts with compelling evidence for a number of conservation-oriented plan amendments, such as those needed to address climate change, climate-change-related need for increased biogenic carbon storage, </w:t>
      </w:r>
      <w:r w:rsidR="00193B64">
        <w:t>out</w:t>
      </w:r>
      <w:r>
        <w:t xml:space="preserve">dated snag habitat standards, </w:t>
      </w:r>
      <w:r w:rsidR="00193B64">
        <w:t>outdated</w:t>
      </w:r>
      <w:r>
        <w:t xml:space="preserve"> salvage standards that conflict with goals for conservation of early seral forests following natural disturbance, the need to conserve all suitable spotted owl nesting, roosting, foraging habitat to mitigate for adverse competitive interactions between spotted owls and barred owls, new information on the destabilizing influence of the boom-bust timber industry, livestock grazing, </w:t>
      </w:r>
      <w:r w:rsidRPr="00085E98">
        <w:t xml:space="preserve">continued fire suppression policies, protecting smaller old growth, </w:t>
      </w:r>
      <w:r>
        <w:t>etc.</w:t>
      </w:r>
    </w:p>
    <w:p w:rsidR="0054296B" w:rsidRDefault="0054296B" w:rsidP="0054296B"/>
    <w:p w:rsidR="0054296B" w:rsidRDefault="0054296B" w:rsidP="0054296B">
      <w:r>
        <w:t xml:space="preserve">Some say the 21” dbh limit is arbitrary, but it’s no more arbitrary than highway speed limits. There are good reasons we don’t grant people discretion to choose their own speed, and </w:t>
      </w:r>
    </w:p>
    <w:p w:rsidR="0054296B" w:rsidRDefault="0054296B" w:rsidP="0054296B">
      <w:r>
        <w:t>we are similarly convinced that the 21” diameter limit helps save the Forest Service from themselves by preventing them from doing counter-productive and controversial things. We are very concerned that if the Forest Service grants themselves more discretion to cut large trees, the agency has many institutional incentives that will lead them to abuse that discretion and undermine public trust in the agency that has much more important work to do than remove large trees.</w:t>
      </w:r>
    </w:p>
    <w:p w:rsidR="0054296B" w:rsidRDefault="0054296B" w:rsidP="0054296B"/>
    <w:p w:rsidR="00396D09" w:rsidRDefault="0054296B" w:rsidP="0054296B">
      <w:r>
        <w:t>Even if there may be exceptional circumstances where retention of large, young trees may interfere with plausible restoration goals, there are many ecological trade-offs associated with removing large trees, and there are many alternative beneficial uses of those trees that do not involve commercial extraction.  Simply put, cutting and removing large trees is not a high-</w:t>
      </w:r>
      <w:r>
        <w:lastRenderedPageBreak/>
        <w:t>priority restoration action on the National Forests in eastern Oregon. There is plenty of more important work to do, including right-sizing the road system, protecting watersheds and water quality, reintroducing natural fire regimes, removing weeds, addressing the damage from past logging, grazing, roads, and fire suppression. The Forest Service should reprioritize to focus on higher priority restoration efforts.</w:t>
      </w:r>
    </w:p>
    <w:p w:rsidR="00396D09" w:rsidRPr="0025001E" w:rsidRDefault="003D1ABA" w:rsidP="00396D09">
      <w:pPr>
        <w:pStyle w:val="Heading2"/>
      </w:pPr>
      <w:bookmarkStart w:id="2" w:name="_Toc53483504"/>
      <w:r>
        <w:t xml:space="preserve">PROJECT </w:t>
      </w:r>
      <w:r w:rsidR="00396D09" w:rsidRPr="0025001E">
        <w:t>WEBSITE BROKEN. COMMENT PERIOD NEEDS TO BE EXTENDED.</w:t>
      </w:r>
      <w:bookmarkEnd w:id="2"/>
    </w:p>
    <w:p w:rsidR="00396D09" w:rsidRDefault="00396D09" w:rsidP="00396D09">
      <w:r>
        <w:t>Less than 48 hours before the co</w:t>
      </w:r>
      <w:r w:rsidR="00EC1860">
        <w:t>mment deadline, important parts of the project website are not working. Several non-governmental organizations have recently encouraged public comments and linked to the website. Significantly, t</w:t>
      </w:r>
      <w:r>
        <w:t xml:space="preserve">he </w:t>
      </w:r>
      <w:r w:rsidR="00EC1860">
        <w:t>“</w:t>
      </w:r>
      <w:r>
        <w:t>public comment</w:t>
      </w:r>
      <w:r w:rsidR="00EC1860">
        <w:t>”</w:t>
      </w:r>
      <w:r>
        <w:t xml:space="preserve"> page for this proposed plan amendment fails to provide an email address where comments can be sent. Instead the page is full of gibberish computer code:</w:t>
      </w:r>
    </w:p>
    <w:p w:rsidR="00396D09" w:rsidRDefault="00396D09" w:rsidP="00396D09">
      <w:pPr>
        <w:ind w:left="720"/>
      </w:pPr>
      <w:r>
        <w:rPr>
          <w:noProof/>
        </w:rPr>
        <w:drawing>
          <wp:inline distT="0" distB="0" distL="0" distR="0" wp14:anchorId="2ACD29E3" wp14:editId="1BCCC076">
            <wp:extent cx="4994564" cy="415253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4997016" cy="4154571"/>
                    </a:xfrm>
                    <a:prstGeom prst="rect">
                      <a:avLst/>
                    </a:prstGeom>
                  </pic:spPr>
                </pic:pic>
              </a:graphicData>
            </a:graphic>
          </wp:inline>
        </w:drawing>
      </w:r>
    </w:p>
    <w:p w:rsidR="00396D09" w:rsidRPr="00C86A7F" w:rsidRDefault="00347CB8" w:rsidP="00EC1860">
      <w:hyperlink r:id="rId12" w:history="1">
        <w:r w:rsidR="00396D09" w:rsidRPr="00C86A7F">
          <w:rPr>
            <w:rStyle w:val="Hyperlink"/>
          </w:rPr>
          <w:t>https://cara.ecosystem-management.org/Public/CommentInput?project=58050</w:t>
        </w:r>
      </w:hyperlink>
      <w:r w:rsidR="00396D09" w:rsidRPr="00C86A7F">
        <w:t xml:space="preserve"> </w:t>
      </w:r>
      <w:r w:rsidR="00396D09">
        <w:t>(accessed 9 AM PST, 10-12-2020).</w:t>
      </w:r>
    </w:p>
    <w:p w:rsidR="00396D09" w:rsidRDefault="00396D09" w:rsidP="00396D09">
      <w:pPr>
        <w:ind w:left="720"/>
        <w:rPr>
          <w:b/>
        </w:rPr>
      </w:pPr>
    </w:p>
    <w:p w:rsidR="00396D09" w:rsidRPr="0025001E" w:rsidRDefault="00396D09" w:rsidP="00EC1860">
      <w:r w:rsidRPr="0025001E">
        <w:t xml:space="preserve">In addition, the </w:t>
      </w:r>
      <w:r w:rsidR="003D1ABA">
        <w:t>“</w:t>
      </w:r>
      <w:r>
        <w:t>CARA Admin</w:t>
      </w:r>
      <w:r w:rsidR="003D1ABA">
        <w:t>”</w:t>
      </w:r>
      <w:r>
        <w:t xml:space="preserve"> </w:t>
      </w:r>
      <w:r w:rsidR="003D1ABA">
        <w:t>error-</w:t>
      </w:r>
      <w:r w:rsidRPr="0025001E">
        <w:t>report</w:t>
      </w:r>
      <w:r>
        <w:t>ing</w:t>
      </w:r>
      <w:r w:rsidRPr="0025001E">
        <w:t xml:space="preserve"> page cannot be reached:</w:t>
      </w:r>
    </w:p>
    <w:p w:rsidR="00396D09" w:rsidRDefault="00396D09" w:rsidP="00EC1860">
      <w:pPr>
        <w:ind w:left="720"/>
        <w:rPr>
          <w:b/>
        </w:rPr>
      </w:pPr>
      <w:r>
        <w:rPr>
          <w:noProof/>
        </w:rPr>
        <w:lastRenderedPageBreak/>
        <w:drawing>
          <wp:inline distT="0" distB="0" distL="0" distR="0" wp14:anchorId="19001DED" wp14:editId="3488C346">
            <wp:extent cx="3985606" cy="161558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985606" cy="1615580"/>
                    </a:xfrm>
                    <a:prstGeom prst="rect">
                      <a:avLst/>
                    </a:prstGeom>
                  </pic:spPr>
                </pic:pic>
              </a:graphicData>
            </a:graphic>
          </wp:inline>
        </w:drawing>
      </w:r>
    </w:p>
    <w:p w:rsidR="00396D09" w:rsidRDefault="00347CB8" w:rsidP="00EC1860">
      <w:hyperlink r:id="rId14" w:history="1">
        <w:r w:rsidR="00396D09" w:rsidRPr="00C86A7F">
          <w:rPr>
            <w:rStyle w:val="Hyperlink"/>
          </w:rPr>
          <w:t>https://ems-team.usda.gov/sites/fs-emnepa-sd/Lists/eMNEPASupport/Item/newifs.aspx</w:t>
        </w:r>
      </w:hyperlink>
      <w:r w:rsidR="00396D09" w:rsidRPr="00C86A7F">
        <w:t xml:space="preserve"> </w:t>
      </w:r>
      <w:r w:rsidR="00396D09">
        <w:t>(accessed 9 AM PST, 10-12-2020).</w:t>
      </w:r>
    </w:p>
    <w:p w:rsidR="00396D09" w:rsidRDefault="00396D09" w:rsidP="00396D09"/>
    <w:p w:rsidR="003D1ABA" w:rsidRDefault="003D1ABA" w:rsidP="00396D09">
      <w:r>
        <w:t>The FS should extend the comment deadline for at least 14 days to allow reasonable time for people to access the documents and comment.</w:t>
      </w:r>
    </w:p>
    <w:p w:rsidR="00396D09" w:rsidRDefault="00396D09" w:rsidP="00396D09">
      <w:pPr>
        <w:pStyle w:val="Heading2"/>
      </w:pPr>
      <w:bookmarkStart w:id="3" w:name="_Toc53483505"/>
      <w:r>
        <w:t>PUBLIC INVOLVEMENT</w:t>
      </w:r>
      <w:bookmarkEnd w:id="3"/>
    </w:p>
    <w:p w:rsidR="00396D09" w:rsidRDefault="00396D09" w:rsidP="00396D09">
      <w:r>
        <w:t>The lack of a scoping process for this plan amendment has seriously hampered th</w:t>
      </w:r>
      <w:r w:rsidR="00D1481D">
        <w:t>e</w:t>
      </w:r>
      <w:r>
        <w:t xml:space="preserve"> NEPA process. The FS has failed to articulate a compelling purpose and need to log large trees or amend the snag standards, failed to develop a rational and effective proposed action, failed to consider reasonable alternatives that would better meet objectives with fewer trade-offs, and failed to take a hard look at important environmental effects. All of these problems could have been alleviated by providing an opportunity for public scoping. This in turn would have produced a better draft NEPA document, and more focused and informed public comments.</w:t>
      </w:r>
    </w:p>
    <w:p w:rsidR="00396D09" w:rsidRDefault="00396D09" w:rsidP="00396D09"/>
    <w:p w:rsidR="003D1ABA" w:rsidRDefault="003D1ABA" w:rsidP="003D1ABA">
      <w:r>
        <w:t>No aspect of the proposed action seems well-thought out. As explained in these comments, neither the large tree amendment or the snag and green tree amendment seem thoughtful. We suspect the FS will substantially change the proposed action between the draft EA and final EA. This would be unfair and deprive the public of an opportunity to comment on the actual proposal. The public should get a chance to comment on a draft NEPA document describing the actual proposal, not a half-baked draft proposal.</w:t>
      </w:r>
    </w:p>
    <w:p w:rsidR="00B21127" w:rsidRDefault="00B21127" w:rsidP="003D1ABA"/>
    <w:p w:rsidR="00B21127" w:rsidRDefault="00B21127" w:rsidP="003D1ABA">
      <w:r>
        <w:t>The direction of this plan amendment process remains baffling given the science forum where most of the scientists affirmed the ecological importance of large trees and were highly skeptical of the need for large tree removal. This is confusing to the public to hear from scientists many compelling reasons to conserve large trees, then to hear from the FS only weak and confusing reasons to remove them.</w:t>
      </w:r>
    </w:p>
    <w:p w:rsidR="00FD60BF" w:rsidRDefault="00FD60BF" w:rsidP="003D1ABA"/>
    <w:p w:rsidR="00FD60BF" w:rsidRDefault="00FD60BF" w:rsidP="00FD60BF">
      <w:pPr>
        <w:pStyle w:val="Heading2"/>
        <w:keepLines w:val="0"/>
        <w:numPr>
          <w:ilvl w:val="1"/>
          <w:numId w:val="0"/>
        </w:numPr>
        <w:tabs>
          <w:tab w:val="num" w:pos="0"/>
        </w:tabs>
        <w:suppressAutoHyphens/>
        <w:spacing w:before="0" w:line="240" w:lineRule="auto"/>
        <w:ind w:left="576" w:hanging="576"/>
      </w:pPr>
      <w:bookmarkStart w:id="4" w:name="_Toc40443485"/>
      <w:bookmarkStart w:id="5" w:name="_Toc53483506"/>
      <w:r>
        <w:t xml:space="preserve">PURPOSE &amp; NEED: THERE IS NO COMPELLING ECOLOGICAL </w:t>
      </w:r>
      <w:r w:rsidRPr="00C05F62">
        <w:t>RATIONALE FOR REMOVING LARGE TREES</w:t>
      </w:r>
      <w:bookmarkEnd w:id="4"/>
      <w:bookmarkEnd w:id="5"/>
    </w:p>
    <w:p w:rsidR="00FD60BF" w:rsidRDefault="00FD60BF" w:rsidP="00FD60BF"/>
    <w:p w:rsidR="00FD60BF" w:rsidRDefault="00FD60BF" w:rsidP="00FD60BF">
      <w:r>
        <w:t xml:space="preserve">The purpose and need for this proposal must recognize that the Forest Service is trying to advance multiple, potentially competing, objectives, even when ecological restoration is the </w:t>
      </w:r>
      <w:r>
        <w:lastRenderedPageBreak/>
        <w:t>overarching goal. This requires harmonizing goals that may be in conflict, rather than maximizing any particular goal. The existing requirements of the Eastside Screens already permit harmonizing of diverse goals.</w:t>
      </w:r>
    </w:p>
    <w:p w:rsidR="00FD60BF" w:rsidRDefault="00FD60BF" w:rsidP="00FD60BF"/>
    <w:p w:rsidR="00FD60BF" w:rsidRDefault="00FD60BF" w:rsidP="00FD60BF">
      <w:r>
        <w:t>Adjusting species composition in areas that have been encroached by an uncharacteristic abundance of shade-tolerant conifers, is a laudable goal</w:t>
      </w:r>
      <w:r w:rsidR="00B95EE2">
        <w:t xml:space="preserve"> in some areas</w:t>
      </w:r>
      <w:r>
        <w:t xml:space="preserve">, but </w:t>
      </w:r>
      <w:r w:rsidR="00B95EE2">
        <w:t xml:space="preserve">diversity of tree species has ecological value and shifting species composition should not </w:t>
      </w:r>
      <w:r>
        <w:t xml:space="preserve">be pursued to the detriment of large tree restoration. Species composition can be </w:t>
      </w:r>
      <w:r w:rsidR="00B95EE2">
        <w:t xml:space="preserve">managed </w:t>
      </w:r>
      <w:r>
        <w:t xml:space="preserve">to a great degree by focusing on thinning the overabundant small trees, and will be further advanced when the disturbance regime is restored. The goal of restoring large trees and large snags requires conserving large trees and snags. The large tree restoration goal will be significantly delayed if this amendment is approved. </w:t>
      </w:r>
    </w:p>
    <w:p w:rsidR="00FD60BF" w:rsidRDefault="00FD60BF" w:rsidP="00FD60BF"/>
    <w:p w:rsidR="00FD60BF" w:rsidRDefault="00FD60BF" w:rsidP="00FD60BF">
      <w:r>
        <w:t xml:space="preserve">There are many trade-offs associated with removing large trees. The purpose and need cannot be one-sided and ignore these trade-offs. The purpose and need for this proposal should include maintaining and restoring the full suite of values associated with large trees and relatively dense forest canopies, including: large green tree habitat, large snag habitat, accumulations of large down wood, carbon storage in the forest, cool-moist microclimate, inter-tree competition leading to natural selection of genotypes fit for survival, clumpy spatial patterns among trees, mitigation for shortages of large tree values on-site and elsewhere on the landscape, meeting the objectives of the Eastside Screens, etc. </w:t>
      </w:r>
    </w:p>
    <w:p w:rsidR="00FD60BF" w:rsidRDefault="00FD60BF" w:rsidP="00FD60BF"/>
    <w:p w:rsidR="00FD60BF" w:rsidRDefault="00FD60BF" w:rsidP="00FD60BF">
      <w:r w:rsidRPr="00365BFA">
        <w:t xml:space="preserve">In 2003, </w:t>
      </w:r>
      <w:r>
        <w:t xml:space="preserve">PNW </w:t>
      </w:r>
      <w:r w:rsidRPr="00365BFA">
        <w:t>Regional Forester Linda Goodman issued a memo saying – "science findings ... reinforce the importance of retaining and recruiting large, old trees in the eastside landscape. ...  The objective of increasing the number of large trees and LOS stands on the landscape remains.</w:t>
      </w:r>
      <w:r>
        <w:t>”</w:t>
      </w:r>
      <w:r w:rsidRPr="00365BFA">
        <w:t xml:space="preserve"> </w:t>
      </w:r>
      <w:r>
        <w:t xml:space="preserve">These science findings remain well-supported. </w:t>
      </w:r>
    </w:p>
    <w:p w:rsidR="00FD60BF" w:rsidRDefault="00FD60BF" w:rsidP="00FD60BF"/>
    <w:p w:rsidR="00FD60BF" w:rsidRDefault="00FD60BF" w:rsidP="00FD60BF">
      <w:r w:rsidRPr="00365BFA">
        <w:t>The enclosure to the 2003 Goodman memo says "It is critical that silvicultural prescriptions provide for large snags in adequate numbers (as indicated by DecAID and other tools) through time to provide habitat for these species."</w:t>
      </w:r>
      <w:r>
        <w:t xml:space="preserve"> Sadly, the existing snag standards are scientifically discredited and the Forest Service has not updated their snag standards to ensure that large snags are provided in adequate numbers. This “critical” policy cannot be followed until snag standards are brought into conformance with the best available science.</w:t>
      </w:r>
    </w:p>
    <w:p w:rsidR="00FD60BF" w:rsidRDefault="00FD60BF" w:rsidP="00FD60BF"/>
    <w:p w:rsidR="00FD60BF" w:rsidRDefault="00FD60BF" w:rsidP="00FD60BF">
      <w:r>
        <w:t xml:space="preserve">In 2015, Regional Forester James Peña’s issued a memo saying to “consider site-specific Forest plan amendments where this will better meet LOS objectives by moving the landscape towards HRV, </w:t>
      </w:r>
      <w:r w:rsidRPr="000063F4">
        <w:rPr>
          <w:i/>
        </w:rPr>
        <w:t>and providing LOS for the habitat needs of associated wildlife species</w:t>
      </w:r>
      <w:r>
        <w:t xml:space="preserve">." This clearly indicates that restoring species composition should not trump conservation of LOS components and wildlife conservation. All these purposes of large tree conservation need to be explicitly considered and met. </w:t>
      </w:r>
    </w:p>
    <w:p w:rsidR="00FD60BF" w:rsidRDefault="00FD60BF" w:rsidP="00FD60BF"/>
    <w:p w:rsidR="00FD60BF" w:rsidRDefault="00FD60BF" w:rsidP="00FD60BF">
      <w:r>
        <w:t xml:space="preserve">The NEPA analysis must also consider and disclose the fact that the agency can substantially meet ALL of its goals related to density reduction, fuel reduction, and species composition, and legacy tree culturing by focusing on removal of young trees less than 21” dbh. </w:t>
      </w:r>
    </w:p>
    <w:p w:rsidR="00FD60BF" w:rsidRDefault="00FD60BF" w:rsidP="00FD60BF"/>
    <w:p w:rsidR="00FD60BF" w:rsidRDefault="00FD60BF" w:rsidP="00FD60BF">
      <w:r w:rsidRPr="00E5362B">
        <w:rPr>
          <w:i/>
        </w:rPr>
        <w:t>The purpose and need, effects analysis, alternatives and mitigation need to address all the evidence both for and against removing large trees</w:t>
      </w:r>
      <w:r>
        <w:t>. The Forest Service must address reasonable opposing viewpoints. Likely effects of large tree removal, and sound reasons to conserve rather than remove large trees include:</w:t>
      </w:r>
    </w:p>
    <w:p w:rsidR="00FD60BF" w:rsidRDefault="00FD60BF" w:rsidP="00FD60BF">
      <w:pPr>
        <w:pStyle w:val="ListParagraph"/>
        <w:numPr>
          <w:ilvl w:val="0"/>
          <w:numId w:val="20"/>
        </w:numPr>
        <w:spacing w:before="120" w:after="120"/>
      </w:pPr>
      <w:r>
        <w:t>Killing and removing large trees will transfer carbon from the forest to the atmosphere and forego additional carbon sequestration in large trees that are allowed to keep growing. This will exacerbate global climate change and ocean acidification.</w:t>
      </w:r>
    </w:p>
    <w:p w:rsidR="00FD60BF" w:rsidRDefault="00FD60BF" w:rsidP="00FD60BF">
      <w:pPr>
        <w:pStyle w:val="ListParagraph"/>
        <w:numPr>
          <w:ilvl w:val="0"/>
          <w:numId w:val="20"/>
        </w:numPr>
        <w:spacing w:before="120" w:after="120"/>
      </w:pPr>
      <w:r>
        <w:t xml:space="preserve">Killing and removing large trees will reduce the population of large trees and the valuable habitat they provide, including and bark habitat (used by bats, birds and arboreal mammals), canopy habitat, etc. </w:t>
      </w:r>
    </w:p>
    <w:p w:rsidR="00FD60BF" w:rsidRDefault="00FD60BF" w:rsidP="00FD60BF">
      <w:pPr>
        <w:pStyle w:val="ListParagraph"/>
        <w:numPr>
          <w:ilvl w:val="0"/>
          <w:numId w:val="20"/>
        </w:numPr>
        <w:spacing w:before="120" w:after="120"/>
      </w:pPr>
      <w:r>
        <w:t>Killing and removing large trees will eliminate an important source of large snag and large wood recruitment. This is a significant long-term effect exacerbated by the fact that all the applicable LRMPs lack scientifically credible standards for maintaining and restoring depleted snag habitat and ensuring viable populations of wildlife associated with dead wood. Increase removal of large trees, combined with the ongoing effects of widespread density reduction on the eastside National Forests, will have significant, long-term effects on recruitment of large snags and large wood.</w:t>
      </w:r>
    </w:p>
    <w:p w:rsidR="00FD60BF" w:rsidRDefault="00FD60BF" w:rsidP="00FD60BF">
      <w:pPr>
        <w:pStyle w:val="ListParagraph"/>
        <w:numPr>
          <w:ilvl w:val="0"/>
          <w:numId w:val="20"/>
        </w:numPr>
        <w:spacing w:before="120" w:after="120"/>
      </w:pPr>
      <w:r>
        <w:t>Killing and removing large trees will increase fire hazard by stimulating growth of smaller trees and shrubs; increasing slash production and the risks that go along with leaving slash on the ground and/or disposing of it; altering the microclimate making stands hotter; dryer, windier; and eliminating canopy that helps suppress surface and ladder fuels.</w:t>
      </w:r>
    </w:p>
    <w:p w:rsidR="00FD60BF" w:rsidRDefault="00FD60BF" w:rsidP="00FD60BF">
      <w:pPr>
        <w:pStyle w:val="ListParagraph"/>
        <w:numPr>
          <w:ilvl w:val="0"/>
          <w:numId w:val="20"/>
        </w:numPr>
        <w:spacing w:before="120"/>
      </w:pPr>
      <w:r>
        <w:t>Killing and removing large trees will increase public distrust of the agency. Large trees are highly valued by the public as a resource that not only provides immediate scenic and recreational values, but the public also understands that large trees contribute to wildlife habitat, carbon storage, hydrology, etc.</w:t>
      </w:r>
    </w:p>
    <w:p w:rsidR="00FD60BF" w:rsidRDefault="00FD60BF" w:rsidP="00FD60BF">
      <w:pPr>
        <w:rPr>
          <w:rFonts w:eastAsia="Times New Roman"/>
          <w:color w:val="222222"/>
        </w:rPr>
      </w:pPr>
    </w:p>
    <w:p w:rsidR="00FD60BF" w:rsidRPr="009F3D3C" w:rsidRDefault="00FD60BF" w:rsidP="00FD60BF">
      <w:pPr>
        <w:rPr>
          <w:rFonts w:eastAsia="Times New Roman"/>
          <w:color w:val="222222"/>
        </w:rPr>
      </w:pPr>
      <w:r>
        <w:rPr>
          <w:rFonts w:eastAsia="Times New Roman"/>
          <w:color w:val="222222"/>
        </w:rPr>
        <w:t xml:space="preserve">Jerry Franklin highlighted the importance of large trees. He said, </w:t>
      </w:r>
      <w:r w:rsidRPr="009F3D3C">
        <w:rPr>
          <w:rFonts w:eastAsia="Times New Roman"/>
          <w:color w:val="222222"/>
        </w:rPr>
        <w:t>“Removal of legacies is most profound long-term impact” because of the </w:t>
      </w:r>
      <w:r>
        <w:rPr>
          <w:rFonts w:eastAsia="Times New Roman"/>
          <w:color w:val="222222"/>
        </w:rPr>
        <w:t xml:space="preserve">– </w:t>
      </w:r>
    </w:p>
    <w:p w:rsidR="00FD60BF" w:rsidRPr="009F3D3C" w:rsidRDefault="00FD60BF" w:rsidP="00FD60BF">
      <w:pPr>
        <w:ind w:left="720"/>
        <w:rPr>
          <w:rFonts w:eastAsia="Times New Roman"/>
          <w:color w:val="222222"/>
        </w:rPr>
      </w:pPr>
      <w:r>
        <w:rPr>
          <w:rFonts w:eastAsia="Times New Roman"/>
          <w:color w:val="222222"/>
        </w:rPr>
        <w:t xml:space="preserve">    </w:t>
      </w:r>
      <w:r w:rsidRPr="009F3D3C">
        <w:rPr>
          <w:rFonts w:eastAsia="Times New Roman"/>
          <w:color w:val="222222"/>
        </w:rPr>
        <w:t>Importance of Coarse Wood:</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Habitat for species</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Organic seedbeds (nurse logs)</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Modification of microclimate</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Protection of plants from ungulates</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Sediment traps</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lastRenderedPageBreak/>
        <w:t>Sources of energy &amp; nutrients</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Sites of N-fixation</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Special source of soil organic matter</w:t>
      </w:r>
    </w:p>
    <w:p w:rsidR="00FD60BF" w:rsidRPr="00B77FFB" w:rsidRDefault="00FD60BF" w:rsidP="00FD60BF">
      <w:pPr>
        <w:pStyle w:val="ListParagraph"/>
        <w:numPr>
          <w:ilvl w:val="0"/>
          <w:numId w:val="22"/>
        </w:numPr>
        <w:rPr>
          <w:rFonts w:eastAsia="Times New Roman"/>
          <w:color w:val="222222"/>
        </w:rPr>
      </w:pPr>
      <w:r w:rsidRPr="00B77FFB">
        <w:rPr>
          <w:rFonts w:eastAsia="Times New Roman"/>
          <w:color w:val="222222"/>
        </w:rPr>
        <w:t>Structural elements of aquatic ecosystems</w:t>
      </w:r>
    </w:p>
    <w:p w:rsidR="00FD60BF" w:rsidRPr="009F3D3C" w:rsidRDefault="00FD60BF" w:rsidP="00FD60BF">
      <w:pPr>
        <w:rPr>
          <w:rFonts w:eastAsia="Times New Roman"/>
          <w:color w:val="222222"/>
        </w:rPr>
      </w:pPr>
      <w:r w:rsidRPr="009F3D3C">
        <w:rPr>
          <w:rFonts w:eastAsia="Times New Roman"/>
          <w:color w:val="222222"/>
        </w:rPr>
        <w:t xml:space="preserve">Jerry Franklin - What is a 'Good' Forest Opening? – </w:t>
      </w:r>
      <w:proofErr w:type="spellStart"/>
      <w:r w:rsidRPr="009F3D3C">
        <w:rPr>
          <w:rFonts w:eastAsia="Times New Roman"/>
          <w:color w:val="222222"/>
        </w:rPr>
        <w:t>Powerpoint</w:t>
      </w:r>
      <w:proofErr w:type="spellEnd"/>
      <w:r w:rsidRPr="009F3D3C">
        <w:rPr>
          <w:rFonts w:eastAsia="Times New Roman"/>
          <w:color w:val="222222"/>
        </w:rPr>
        <w:t xml:space="preserve"> </w:t>
      </w:r>
      <w:hyperlink r:id="rId15" w:history="1">
        <w:r w:rsidRPr="009F3D3C">
          <w:rPr>
            <w:rFonts w:eastAsia="Times New Roman"/>
            <w:color w:val="1155CC"/>
            <w:u w:val="single"/>
          </w:rPr>
          <w:t>http://courses.washington.edu/esrm315/Lectures/FranklinEarlySuccession.pdf</w:t>
        </w:r>
      </w:hyperlink>
      <w:r>
        <w:rPr>
          <w:rFonts w:eastAsia="Times New Roman"/>
          <w:color w:val="222222"/>
        </w:rPr>
        <w:t xml:space="preserve">. Each of these issues should be carefully considered and mitigated. See also Rose et al (2001) which provides a detailed description of the functional roles of large trees and large wood. Rose, C.L., Marcot, B.G., Mellen, T.K., Ohmann, J.L., Waddell, K.L., Lindely, D.L., and B. Schrieber. 2001. Decaying Wood in Pacific Northwest Forests: Concepts and Tools for Habitat Management, Chapter 24 in Wildlife-Habitat Relationships in Oregon and Washington (Johnson, D. H. and T. A. O’Neil. OSU Press. 2001) </w:t>
      </w:r>
      <w:hyperlink r:id="rId16" w:history="1">
        <w:r w:rsidRPr="00732D65">
          <w:rPr>
            <w:rStyle w:val="Hyperlink"/>
            <w:rFonts w:eastAsia="Times New Roman"/>
          </w:rPr>
          <w:t>http://web.archive.org/web/20060708035905/http://www.nwhi.org/inc/data/GISdata/docs/chapter24.pdf</w:t>
        </w:r>
      </w:hyperlink>
      <w:r>
        <w:rPr>
          <w:rFonts w:eastAsia="Times New Roman"/>
          <w:color w:val="222222"/>
        </w:rPr>
        <w:t xml:space="preserve">. </w:t>
      </w:r>
    </w:p>
    <w:p w:rsidR="00FD60BF" w:rsidRDefault="00FD60BF" w:rsidP="00FD60BF"/>
    <w:p w:rsidR="00FD60BF" w:rsidRDefault="00FD60BF" w:rsidP="00FD60BF">
      <w:r>
        <w:t>Another important ecological function provided by conservation of large trees, and eventual natural mortality of large trees, is that it promotes evolutionary adaptation, which is critical right now in the face of climate change.</w:t>
      </w:r>
    </w:p>
    <w:p w:rsidR="00FD60BF" w:rsidRDefault="00FD60BF" w:rsidP="00FD60BF">
      <w:pPr>
        <w:pStyle w:val="BodyTextIndent"/>
      </w:pPr>
      <w:r>
        <w:t>[R]</w:t>
      </w:r>
      <w:proofErr w:type="spellStart"/>
      <w:r>
        <w:t>esearchers</w:t>
      </w:r>
      <w:proofErr w:type="spellEnd"/>
      <w:r>
        <w:t xml:space="preserve"> were surprised to find that the mortality of established trees considerably promotes the adaptation of forests to the changing environment. … Evolution is promoted by the mortality of established trees. The researchers assumed that demographic characteristics of the trees would have a notable impact on their adaptability. Tree species differ for example so that birch matures at a considerably younger age than pine, and birch seeds spread more effectively than pine seeds. However, the results showed that these differences had only minor impacts. Instead, the mortality of established trees played a large role in the evolutionary adaptation. </w:t>
      </w:r>
    </w:p>
    <w:p w:rsidR="00FD60BF" w:rsidRDefault="00FD60BF" w:rsidP="00FD60BF">
      <w:pPr>
        <w:pStyle w:val="BodyTextIndent"/>
        <w:ind w:left="0"/>
      </w:pPr>
      <w:r>
        <w:t xml:space="preserve">Northern forests do not benefit from lengthening growing season. UNIVERSITY OF HELSINKI. PUBLIC RELEASE: 12-JAN-2010. </w:t>
      </w:r>
      <w:hyperlink r:id="rId17" w:history="1">
        <w:r>
          <w:rPr>
            <w:rStyle w:val="Hyperlink"/>
          </w:rPr>
          <w:t>http://www.eurekalert.org/pub_releases/2010-01/uoh-nfd011210.php</w:t>
        </w:r>
      </w:hyperlink>
      <w:r>
        <w:t>. Importantly, for natural selection to occur, mortality must be caused by natural events like drought, insects, and fire, rather than through human choices about which trees will live and which will die.</w:t>
      </w:r>
    </w:p>
    <w:p w:rsidR="00FD60BF" w:rsidRDefault="00FD60BF" w:rsidP="00FD60BF">
      <w:pPr>
        <w:pStyle w:val="BodyTextIndent"/>
        <w:ind w:left="0"/>
      </w:pPr>
    </w:p>
    <w:p w:rsidR="00FD60BF" w:rsidRDefault="00FD60BF" w:rsidP="00FD60BF">
      <w:r>
        <w:rPr>
          <w:rStyle w:val="apple-converted-space"/>
          <w:color w:val="000000"/>
        </w:rPr>
        <w:t xml:space="preserve">The recently proposed plan amendment for the Fremont-Winema would allow removal of large white-fir trees for wide variety of different reasons, e.g., </w:t>
      </w:r>
      <w:r>
        <w:t xml:space="preserve">“where needed, to protect old-growth trees, restore species composition and stand structure, maintain diversity components, and improve forest resiliency to fire, drought, insects and disease.” Each of these reasons needs its own rationale, but none have been provided, and none have been weighed against all the reasons to conserve large trees. This whole proposal would be easier to swallow if it were limited to a plausible ecological objective such as saving legacy pine trees by girdling  </w:t>
      </w:r>
      <w:r w:rsidRPr="009E2A3C">
        <w:rPr>
          <w:i/>
        </w:rPr>
        <w:t>some</w:t>
      </w:r>
      <w:r>
        <w:t xml:space="preserve"> of the 21-25” dbh white fir trees &lt;120 years old within the drip-line of legacy pine trees.</w:t>
      </w:r>
    </w:p>
    <w:p w:rsidR="001B10A3" w:rsidRDefault="001B10A3" w:rsidP="00FD60BF"/>
    <w:p w:rsidR="001B10A3" w:rsidRDefault="001B10A3" w:rsidP="001B10A3">
      <w:pPr>
        <w:pStyle w:val="Heading2"/>
      </w:pPr>
      <w:bookmarkStart w:id="6" w:name="_Toc53483507"/>
      <w:r>
        <w:lastRenderedPageBreak/>
        <w:t>PURPOSE AND NEED: EA FLAWS</w:t>
      </w:r>
      <w:bookmarkEnd w:id="6"/>
    </w:p>
    <w:p w:rsidR="001B10A3" w:rsidRPr="00A90AB3" w:rsidRDefault="001B10A3" w:rsidP="001B10A3">
      <w:r>
        <w:t>The purpose and need is undermined by the EA (p 36) admission that LOS forest structure would continue to improve under all alternatives, including no action/current management. Protecting and restoring LOS is the primary goal of the Eastside Screens, so this analysis shows there is no compelling purpose and need for this plan amendment.</w:t>
      </w:r>
    </w:p>
    <w:p w:rsidR="001B10A3" w:rsidRDefault="001B10A3" w:rsidP="001B10A3"/>
    <w:p w:rsidR="001B10A3" w:rsidRDefault="001B10A3" w:rsidP="001B10A3">
      <w:pPr>
        <w:rPr>
          <w:sz w:val="23"/>
          <w:szCs w:val="23"/>
        </w:rPr>
      </w:pPr>
      <w:r>
        <w:t>EA Figures 7, 8, and 9 (pp 30-31) show that restoration efforts over the last 25 years under the no action alternative are effective and LOS forest structure is increasing under the Eastside Screens. EA (p 32) says “</w:t>
      </w:r>
      <w:r>
        <w:rPr>
          <w:sz w:val="23"/>
          <w:szCs w:val="23"/>
        </w:rPr>
        <w:t>The increased amount of open LOS forest in both the dry and moist forest groups is an indicator that we are moving toward eastside screen goals.”</w:t>
      </w:r>
    </w:p>
    <w:p w:rsidR="001B10A3" w:rsidRPr="00BF1633" w:rsidRDefault="001B10A3" w:rsidP="001B10A3">
      <w:pPr>
        <w:ind w:left="720"/>
        <w:rPr>
          <w:sz w:val="23"/>
          <w:szCs w:val="23"/>
        </w:rPr>
      </w:pPr>
      <w:r>
        <w:rPr>
          <w:noProof/>
        </w:rPr>
        <w:drawing>
          <wp:inline distT="0" distB="0" distL="0" distR="0" wp14:anchorId="1BEB2321" wp14:editId="26AF61DC">
            <wp:extent cx="4563876" cy="3841750"/>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screen">
                      <a:extLst>
                        <a:ext uri="{28A0092B-C50C-407E-A947-70E740481C1C}">
                          <a14:useLocalDpi xmlns:a14="http://schemas.microsoft.com/office/drawing/2010/main"/>
                        </a:ext>
                      </a:extLst>
                    </a:blip>
                    <a:stretch>
                      <a:fillRect/>
                    </a:stretch>
                  </pic:blipFill>
                  <pic:spPr>
                    <a:xfrm>
                      <a:off x="0" y="0"/>
                      <a:ext cx="4563876" cy="3841750"/>
                    </a:xfrm>
                    <a:prstGeom prst="rect">
                      <a:avLst/>
                    </a:prstGeom>
                  </pic:spPr>
                </pic:pic>
              </a:graphicData>
            </a:graphic>
          </wp:inline>
        </w:drawing>
      </w:r>
    </w:p>
    <w:p w:rsidR="001B10A3" w:rsidRDefault="001B10A3" w:rsidP="001B10A3"/>
    <w:p w:rsidR="001B10A3" w:rsidRDefault="001B10A3" w:rsidP="001B10A3">
      <w:r>
        <w:t xml:space="preserve">The EA (p 16) says it will use species composition and tree age as indicators for analysis. This conflicts with the assertion that this plan amendment retains the original goals of the Eastside Screens and the Eastside Screens explicit statement that structural stages are independent of stand age or species composition. If the FS is retaining the existing goals of the screens, then the main indicator should be forest </w:t>
      </w:r>
      <w:r w:rsidRPr="001B10A3">
        <w:rPr>
          <w:i/>
        </w:rPr>
        <w:t>structure</w:t>
      </w:r>
      <w:r>
        <w:t xml:space="preserve"> and in that case the existing management alternative performs best because it retain more large trees.</w:t>
      </w:r>
    </w:p>
    <w:p w:rsidR="001B10A3" w:rsidRDefault="001B10A3" w:rsidP="001B10A3"/>
    <w:p w:rsidR="001B10A3" w:rsidRDefault="001B10A3" w:rsidP="001B10A3">
      <w:r>
        <w:t>The EA admits that removing large tree is not essential to the meeting LOS objectives. A more effective strategy to meet LOS restoration goals is to focus on small trees. EA (p 36) says “…</w:t>
      </w:r>
      <w:r w:rsidRPr="00BD62CF">
        <w:t>the current trend of increasing LOS forest will continue for all alternatives.</w:t>
      </w:r>
      <w:r>
        <w:t xml:space="preserve"> … </w:t>
      </w:r>
      <w:r w:rsidRPr="00BD62CF">
        <w:t xml:space="preserve">Closed canopies will </w:t>
      </w:r>
      <w:r w:rsidRPr="00BD62CF">
        <w:lastRenderedPageBreak/>
        <w:t xml:space="preserve">continue to increase because tree growth and regeneration will outpace thinning effects from both wildfire and management. </w:t>
      </w:r>
      <w:r w:rsidRPr="00BB4F15">
        <w:rPr>
          <w:u w:val="single"/>
        </w:rPr>
        <w:t>Future treatments would need to increase the removal of small and mid-sized trees from closed canopy forests in order to change this trajectory</w:t>
      </w:r>
      <w:r>
        <w:t>.” (emphasis added).</w:t>
      </w:r>
    </w:p>
    <w:p w:rsidR="001B10A3" w:rsidRDefault="001B10A3" w:rsidP="001B10A3"/>
    <w:p w:rsidR="001B10A3" w:rsidRPr="00A90AB3" w:rsidRDefault="001B10A3" w:rsidP="001B10A3">
      <w:r w:rsidRPr="00A90AB3">
        <w:t>The FS is also diverging from the original intent of the screens in the new snag standards. The FS is eliminating the aspirational goal to retain enough snags and green trees to support maximum potential populations of cavity excavator species, a keystone species. See 1995 Eastside Screens, Scenario A, Sub 4 (a). The new replacement standard has no clear goals related to healthy populations of snag-associated wildlife. This directly undermines the stated purpose of these amendments to restore resilience, because snag-associated birds help control insects that harm trees. If the FS fails to retain enough snags and green trees, then insect predator populations will pose an increased threat to the forest.</w:t>
      </w:r>
    </w:p>
    <w:p w:rsidR="001B10A3" w:rsidRDefault="001B10A3" w:rsidP="001B10A3"/>
    <w:p w:rsidR="001B10A3" w:rsidRPr="00A90AB3" w:rsidRDefault="001B10A3" w:rsidP="001B10A3">
      <w:r w:rsidRPr="00A90AB3">
        <w:t xml:space="preserve">The EA (p 7) says: “Increases in stand basal area since frequent fire was excluded from eastern Oregon forests are largely attributable to growth and establishment of relatively </w:t>
      </w:r>
      <w:r w:rsidRPr="00A90AB3">
        <w:rPr>
          <w:u w:val="single"/>
        </w:rPr>
        <w:t>large</w:t>
      </w:r>
      <w:r w:rsidRPr="00A90AB3">
        <w:t>, fast growing, shade tolerant species like grand fir and Douglas-fir …” This is highly misleading. Though Douglas fir and grand fir can grow large, most of the trees (and most of the basal area) that have established due to fire exclusion are much smaller than 21” dbh and can be removed without amending he screens.</w:t>
      </w:r>
      <w:r>
        <w:t xml:space="preserve"> Also, all things being equal, basal area of small trees poses a greater competitive threat to old trees than basal area of large trees, because small trees have a higher proposal of sap wood compared to large trees.</w:t>
      </w:r>
    </w:p>
    <w:p w:rsidR="001B10A3" w:rsidRDefault="001B10A3" w:rsidP="001B10A3"/>
    <w:p w:rsidR="001B10A3" w:rsidRPr="00A90AB3" w:rsidRDefault="001B10A3" w:rsidP="001B10A3">
      <w:r w:rsidRPr="00A90AB3">
        <w:t>EA (pp 7-8) says “A variety of empirical studies and science syntheses demonstrate that protection of all trees greater than 21 inches prevents restoration of historical conditions and conditions that are likely to maintain old trees into the future …” This fails to reflect the vast science showing that removing small trees is the higher restoration priority. Removal of small trees allows the FS to make substantial progress on restoration goals. Removal of large trees might help achieve the last increment of some restoration goals (like species composition). However, there are significant ecological trade-offs with large tree removal, because it sacrifices other important restoration goals that are generally not sacrificed when small trees are removed.</w:t>
      </w:r>
    </w:p>
    <w:p w:rsidR="001B10A3" w:rsidRDefault="001B10A3" w:rsidP="001B10A3"/>
    <w:p w:rsidR="001B10A3" w:rsidRPr="00A90AB3" w:rsidRDefault="001B10A3" w:rsidP="001B10A3">
      <w:r w:rsidRPr="00A90AB3">
        <w:t xml:space="preserve">EA (p 8) says “Although the 21-inch standard protects large trees from logging, it does not protect large trees from mortality from fire, insects, and drought.” This fails to recognize that </w:t>
      </w:r>
      <w:r>
        <w:t>it is ecologically more important to protect large trees from logging than from natural mortality. L</w:t>
      </w:r>
      <w:r w:rsidRPr="00A90AB3">
        <w:t xml:space="preserve">ogging mortality and natural tree mortality have some things in common and some things that distinguish them. Both logging mortality and natural mortality thin the forest and make resources available to increase the vigor of remaining trees. However, natural mortality creates highly valuable snag habitat and down wood, whereas logging exports these valuable LOS components </w:t>
      </w:r>
      <w:r>
        <w:t>from</w:t>
      </w:r>
      <w:r w:rsidRPr="00A90AB3">
        <w:t xml:space="preserve"> the forest. On balance, natural mortality provides a better mix of benefits, especially in light </w:t>
      </w:r>
      <w:r w:rsidRPr="00A90AB3">
        <w:lastRenderedPageBreak/>
        <w:t>of the fact that stand resilience can be largely accomplished by removing smaller trees.</w:t>
      </w:r>
      <w:r>
        <w:t xml:space="preserve"> The NEPA analysis needs to reflect the important differences between the effects of logging and natural mortality.</w:t>
      </w:r>
    </w:p>
    <w:p w:rsidR="001B10A3" w:rsidRDefault="001B10A3" w:rsidP="001B10A3"/>
    <w:p w:rsidR="001B10A3" w:rsidRPr="00A90AB3" w:rsidRDefault="001B10A3" w:rsidP="001B10A3">
      <w:r w:rsidRPr="00A90AB3">
        <w:t xml:space="preserve">EA </w:t>
      </w:r>
      <w:r>
        <w:t>(</w:t>
      </w:r>
      <w:r w:rsidRPr="00A90AB3">
        <w:t>p 8</w:t>
      </w:r>
      <w:r>
        <w:t>) says</w:t>
      </w:r>
      <w:r w:rsidRPr="00A90AB3">
        <w:t xml:space="preserve"> “Given new science and our evolving understanding of landscape ecology, a standard that prohibits logging of all trees larger than or equal to 21 inches diameter at breast height (dbh) is no longer adequate to support landscape restoration and resiliency efforts, nor conserve the remnant old and late seral and/or structural live trees it was meant to protect …” This is highly misleading because: (</w:t>
      </w:r>
      <w:proofErr w:type="spellStart"/>
      <w:r w:rsidRPr="00A90AB3">
        <w:t>i</w:t>
      </w:r>
      <w:proofErr w:type="spellEnd"/>
      <w:r w:rsidRPr="00A90AB3">
        <w:t xml:space="preserve">) there is no new science saying that species composition and fuel reduction are more important than the stated goal of the Screens - “maintain the abundance and distribution of old forest structure,” including large young trees that serve as </w:t>
      </w:r>
      <w:r>
        <w:t xml:space="preserve">functional </w:t>
      </w:r>
      <w:r w:rsidRPr="00A90AB3">
        <w:t>surrogates</w:t>
      </w:r>
      <w:r>
        <w:t xml:space="preserve"> for old trees</w:t>
      </w:r>
      <w:r w:rsidRPr="00A90AB3">
        <w:t xml:space="preserve">; (ii) landscape restoration, resilience and old tree conservation can still be achieved by thinning small trees, (iii) this sentence effectively rewrites the goals of the Screens to exclude conservation of large trees that serve as </w:t>
      </w:r>
      <w:r>
        <w:t xml:space="preserve">functional </w:t>
      </w:r>
      <w:r w:rsidRPr="00A90AB3">
        <w:t>surrogates</w:t>
      </w:r>
      <w:r>
        <w:t xml:space="preserve"> for old trees</w:t>
      </w:r>
      <w:r w:rsidRPr="00A90AB3">
        <w:t>.</w:t>
      </w:r>
    </w:p>
    <w:p w:rsidR="001B10A3" w:rsidRPr="00A90AB3" w:rsidRDefault="001B10A3" w:rsidP="001B10A3">
      <w:pPr>
        <w:pStyle w:val="Default"/>
      </w:pPr>
    </w:p>
    <w:p w:rsidR="001B10A3" w:rsidRDefault="001B10A3" w:rsidP="001B10A3">
      <w:r>
        <w:t xml:space="preserve">The EA fails to articulate any purpose and need for amending the snag and green tree replacement standards. This raises significant concerns in light of the fact that logging large trees will deprive the ecosystem of much needed large snags, and the </w:t>
      </w:r>
      <w:r w:rsidRPr="00A90AB3">
        <w:t>critically important role played by snags and dead wood</w:t>
      </w:r>
      <w:r>
        <w:t>. It’s almost as if the FS is amending the snag standard, not to fix the minor flaw in the standard or to better meet snag objectives, but in order to facilitate the pre-ordained decision to remove large trees.</w:t>
      </w:r>
    </w:p>
    <w:p w:rsidR="001B10A3" w:rsidRDefault="001B10A3" w:rsidP="001B10A3"/>
    <w:p w:rsidR="001B10A3" w:rsidRPr="00A90AB3" w:rsidRDefault="001B10A3" w:rsidP="001B10A3">
      <w:r w:rsidRPr="00A90AB3">
        <w:t xml:space="preserve">EA </w:t>
      </w:r>
      <w:r>
        <w:t>(</w:t>
      </w:r>
      <w:r w:rsidRPr="00A90AB3">
        <w:t>p 4</w:t>
      </w:r>
      <w:r>
        <w:t>) says</w:t>
      </w:r>
      <w:r w:rsidRPr="00A90AB3">
        <w:t xml:space="preserve"> “The amendment would not chang</w:t>
      </w:r>
      <w:r>
        <w:t>e any other plan components …” This is not true. Snag standards being amended to weaken protection and restoration of snags and green tree replacements.</w:t>
      </w:r>
    </w:p>
    <w:p w:rsidR="001B10A3" w:rsidRDefault="001B10A3" w:rsidP="001B10A3"/>
    <w:p w:rsidR="001B10A3" w:rsidRDefault="001B10A3" w:rsidP="001B10A3">
      <w:r>
        <w:t xml:space="preserve">The FS is misconstruing the role of large, young, shade-tolerant trees. </w:t>
      </w:r>
      <w:r w:rsidRPr="005C7CD1">
        <w:t xml:space="preserve">A </w:t>
      </w:r>
      <w:r>
        <w:t>grand fir, white fir</w:t>
      </w:r>
      <w:r w:rsidRPr="005C7CD1">
        <w:t>, or Doug</w:t>
      </w:r>
      <w:r>
        <w:t>las</w:t>
      </w:r>
      <w:r w:rsidRPr="005C7CD1">
        <w:t xml:space="preserve"> fir that has grown large in a short amount of time is not an encroaching conifer that grew in a thicket and poses a </w:t>
      </w:r>
      <w:r>
        <w:t xml:space="preserve">significant ladder fuel </w:t>
      </w:r>
      <w:r w:rsidRPr="005C7CD1">
        <w:t xml:space="preserve">hazard. </w:t>
      </w:r>
      <w:r>
        <w:t xml:space="preserve">Large young trees must grow at </w:t>
      </w:r>
      <w:r w:rsidRPr="005C7CD1">
        <w:t xml:space="preserve">relatively low density. </w:t>
      </w:r>
      <w:r>
        <w:t>Such tree must grow i</w:t>
      </w:r>
      <w:r w:rsidRPr="005C7CD1">
        <w:t xml:space="preserve">n a good site. </w:t>
      </w:r>
      <w:r>
        <w:t xml:space="preserve">And, large trees </w:t>
      </w:r>
      <w:r w:rsidRPr="005C7CD1">
        <w:t>serve valuable</w:t>
      </w:r>
      <w:r>
        <w:t xml:space="preserve"> ecosystem services and deserve</w:t>
      </w:r>
      <w:r w:rsidRPr="005C7CD1">
        <w:t xml:space="preserve"> to continue </w:t>
      </w:r>
      <w:r>
        <w:t xml:space="preserve">and </w:t>
      </w:r>
      <w:r w:rsidRPr="005C7CD1">
        <w:t>persist as a live tree, or at least as a large snag.</w:t>
      </w:r>
    </w:p>
    <w:p w:rsidR="001B10A3" w:rsidRDefault="001B10A3" w:rsidP="001B10A3"/>
    <w:p w:rsidR="001B10A3" w:rsidRPr="0054296B" w:rsidRDefault="001B10A3" w:rsidP="00FD60BF">
      <w:r>
        <w:t>This plan amendment adopts a unsupported approach to climate adaptation. The EA fails to recognize that retaining large trees is a better hedge against climate uncertainty than removing them. The analysis in the draft EA (p 23) assumes that climate change will accelerate disturbance process, which will likely kill more trees, large and small, and make way for establishment of lots more small trees. Contrary to the logic of the proposed amendment, it makes more sense to r</w:t>
      </w:r>
      <w:r>
        <w:rPr>
          <w:color w:val="000000"/>
          <w:sz w:val="23"/>
          <w:szCs w:val="23"/>
        </w:rPr>
        <w:t xml:space="preserve">etain rather than remove large shade-tolerant trees that did not grow up under intense competition, especially when the future expectation is for lots more small trees and greater challenges growing and retaining large trees of any species. </w:t>
      </w:r>
      <w:r>
        <w:t xml:space="preserve">It makes no sense to exacerbate mortality among the large tree cohort that is already depleted, as this plan amendment will do (via logging mortality that </w:t>
      </w:r>
      <w:r>
        <w:lastRenderedPageBreak/>
        <w:t>exports valuable large trees from the site so they cannot play a role as either large green tree habitat or large snag habitat).</w:t>
      </w:r>
    </w:p>
    <w:p w:rsidR="002F3058" w:rsidRDefault="002F3058" w:rsidP="002F3058">
      <w:pPr>
        <w:pStyle w:val="Heading2"/>
      </w:pPr>
      <w:bookmarkStart w:id="7" w:name="_Toc53483508"/>
      <w:r>
        <w:t>PURPOSE AND NEED: CHANGING THE GOAL OF THE SCREENS FROM LARGE TREES TO OLD TREES VIOLATES A CORE PURPOSE OF THE SCREENS</w:t>
      </w:r>
      <w:bookmarkEnd w:id="7"/>
    </w:p>
    <w:p w:rsidR="002F3058" w:rsidRDefault="002F3058" w:rsidP="0025001E"/>
    <w:p w:rsidR="002F3058" w:rsidRDefault="002F3058" w:rsidP="0025001E">
      <w:r>
        <w:t>Conservation of large trees is so core to the purpose of the screens, that you cannot amend the screens to allow removing large trees without undermining the basic purpose of the screens.</w:t>
      </w:r>
    </w:p>
    <w:p w:rsidR="002F3058" w:rsidRDefault="002F3058" w:rsidP="0025001E"/>
    <w:p w:rsidR="002F3058" w:rsidRDefault="002F3058" w:rsidP="002F3058">
      <w:r w:rsidRPr="00A90AB3">
        <w:t xml:space="preserve">The purpose and need is </w:t>
      </w:r>
      <w:r>
        <w:t xml:space="preserve">inconsistent </w:t>
      </w:r>
      <w:r w:rsidRPr="00A90AB3">
        <w:t xml:space="preserve">with the stated goal of the amendment. </w:t>
      </w:r>
      <w:r>
        <w:t xml:space="preserve">The EA (p 8) says </w:t>
      </w:r>
      <w:r w:rsidRPr="00A90AB3">
        <w:t xml:space="preserve">“The goal of this proposed amendment is synonymous with the purpose and need for the original screens, which is the ‘…need to maintain the abundance and distribution of old forest structure.’” Old forest </w:t>
      </w:r>
      <w:r w:rsidRPr="00BF1633">
        <w:rPr>
          <w:i/>
        </w:rPr>
        <w:t>structure</w:t>
      </w:r>
      <w:r w:rsidRPr="00A90AB3">
        <w:t xml:space="preserve"> includes large trees that are not yet old. </w:t>
      </w:r>
      <w:r>
        <w:t xml:space="preserve">The FS is not in fact focusing on forest structure. </w:t>
      </w:r>
      <w:r w:rsidRPr="00A90AB3">
        <w:t xml:space="preserve">The FS is using sleight of hand to </w:t>
      </w:r>
      <w:r>
        <w:t xml:space="preserve">shift </w:t>
      </w:r>
      <w:r w:rsidRPr="00A90AB3">
        <w:t xml:space="preserve">the focus of the Screens to protect just </w:t>
      </w:r>
      <w:r w:rsidRPr="00A90AB3">
        <w:rPr>
          <w:i/>
        </w:rPr>
        <w:t>old</w:t>
      </w:r>
      <w:r w:rsidRPr="00A90AB3">
        <w:t xml:space="preserve"> trees and exclude </w:t>
      </w:r>
      <w:r>
        <w:t xml:space="preserve">large trees that are </w:t>
      </w:r>
      <w:r w:rsidRPr="00A90AB3">
        <w:t xml:space="preserve">functional surrogates for old trees </w:t>
      </w:r>
      <w:r>
        <w:t xml:space="preserve">and </w:t>
      </w:r>
      <w:r w:rsidRPr="00A90AB3">
        <w:t xml:space="preserve">an important </w:t>
      </w:r>
      <w:r>
        <w:t xml:space="preserve">component </w:t>
      </w:r>
      <w:r w:rsidRPr="00A90AB3">
        <w:t xml:space="preserve">of the screens’ conservation strategy. </w:t>
      </w:r>
      <w:r>
        <w:t>In spite of the screens’ focus on large tree structure, t</w:t>
      </w:r>
      <w:r w:rsidRPr="00A90AB3">
        <w:t xml:space="preserve">he purpose and need </w:t>
      </w:r>
      <w:r>
        <w:t xml:space="preserve">for this plan amendment conspicuously </w:t>
      </w:r>
      <w:r w:rsidRPr="00A90AB3">
        <w:t xml:space="preserve">only talks about protecting old trees, not large trees. This is a significant change to the Eastside Screens, which recognized the shortage of old trees will be long lasting, and the authors of screens wisely chose to mitigate that shortage by protecting large trees that can serve as functional surrogates for old trees. </w:t>
      </w:r>
      <w:r>
        <w:t>Table 1 in the 1995 Eastside Screens defined forest structural stages used to determine Late Old Structure (LOS) and historic range of variability (HRV) and it explicitly states that “</w:t>
      </w:r>
      <w:r w:rsidRPr="00200BE2">
        <w:t>Structural stage is not necessarily associated with stand age or to seral (species composition) development</w:t>
      </w:r>
      <w:r>
        <w:t xml:space="preserve">.” </w:t>
      </w:r>
      <w:r w:rsidRPr="00A90AB3">
        <w:t xml:space="preserve">If the goal of the Screens remains the same, then both old trees AND functional surrogates </w:t>
      </w:r>
      <w:r>
        <w:t xml:space="preserve">(regardless of age or species) </w:t>
      </w:r>
      <w:r w:rsidRPr="00A90AB3">
        <w:t xml:space="preserve">need to be conserved. Removing large trees is in direct </w:t>
      </w:r>
      <w:r>
        <w:t xml:space="preserve">conflict with </w:t>
      </w:r>
      <w:r w:rsidRPr="00A90AB3">
        <w:t>that goal. Removing large trees does not offer “more effective conservation” of the ecological functions provided by old tree</w:t>
      </w:r>
      <w:r>
        <w:t xml:space="preserve">s. </w:t>
      </w:r>
      <w:r w:rsidRPr="00A90AB3">
        <w:t>especially when we account for the increase in large tree mortality caused by logging under the amended screens.</w:t>
      </w:r>
      <w:r>
        <w:t xml:space="preserve"> EA (p 36) admits that LOS forest structure would continue to improve under all alternatives, including no action/current management. </w:t>
      </w:r>
      <w:r w:rsidRPr="00A90AB3">
        <w:t xml:space="preserve"> </w:t>
      </w:r>
    </w:p>
    <w:p w:rsidR="002F3058" w:rsidRDefault="002F3058" w:rsidP="0025001E"/>
    <w:p w:rsidR="00A51B7E" w:rsidRDefault="002F3058" w:rsidP="002F3058">
      <w:r>
        <w:t>EA (p 20) admits “</w:t>
      </w:r>
      <w:r w:rsidRPr="00FF3C16">
        <w:t>Large trees can substitute for some of the ecolog</w:t>
      </w:r>
      <w:r>
        <w:t xml:space="preserve">ical function in the short-term” but the Proposed Action and the EA analysis do not reflect this very important fact. </w:t>
      </w:r>
      <w:r w:rsidRPr="00A90AB3">
        <w:t xml:space="preserve"> </w:t>
      </w:r>
      <w:r>
        <w:t>The FS needs to develop a policy that retains large trees when it can help serve the scarce ecological functions of old trees. The EA needs to disclose the risk that this plan amendment will allow and encourage removal of large trees and the associated ecological functions of old trees.</w:t>
      </w:r>
    </w:p>
    <w:p w:rsidR="002F3058" w:rsidRDefault="002F3058" w:rsidP="0025001E"/>
    <w:p w:rsidR="002F3058" w:rsidRDefault="002F3058" w:rsidP="002F3058">
      <w:pPr>
        <w:autoSpaceDE w:val="0"/>
      </w:pPr>
      <w:r>
        <w:t xml:space="preserve">The Eastside Screens say “2) Outside of LOS, many types of timber sale activities are allowed. </w:t>
      </w:r>
      <w:r>
        <w:rPr>
          <w:u w:val="single"/>
        </w:rPr>
        <w:t>The intent is still to maintain and/or enhance LOS components in stands subject to timber harvest</w:t>
      </w:r>
      <w:r>
        <w:t xml:space="preserve"> … Manipulate vegetative structure that does not meet late and old structural (LOS) conditions, … in a manner that </w:t>
      </w:r>
      <w:r>
        <w:rPr>
          <w:u w:val="single"/>
        </w:rPr>
        <w:t>moves it towards these conditions</w:t>
      </w:r>
      <w:r>
        <w:t xml:space="preserve"> as appropriate to meet HRV. … </w:t>
      </w:r>
      <w:r>
        <w:lastRenderedPageBreak/>
        <w:t xml:space="preserve">Manipulate vegetation in a manner to </w:t>
      </w:r>
      <w:r>
        <w:rPr>
          <w:u w:val="single"/>
        </w:rPr>
        <w:t>encourage the development and maintenance of large diameter</w:t>
      </w:r>
      <w:r>
        <w:t xml:space="preserve">, open canopy structure.” 1995 Regional Forester’s Forest Plan Amendment #2. </w:t>
      </w:r>
      <w:hyperlink r:id="rId19" w:history="1">
        <w:r>
          <w:rPr>
            <w:rStyle w:val="Hyperlink"/>
          </w:rPr>
          <w:t>http://www.fs.usda.gov/Internet/FSE_DOCUMENTS/stelprdb5288660.pdf</w:t>
        </w:r>
      </w:hyperlink>
      <w:r>
        <w:t xml:space="preserve"> </w:t>
      </w:r>
    </w:p>
    <w:p w:rsidR="002F3058" w:rsidRDefault="002F3058" w:rsidP="002F3058">
      <w:pPr>
        <w:autoSpaceDE w:val="0"/>
      </w:pPr>
    </w:p>
    <w:p w:rsidR="002F3058" w:rsidRDefault="002F3058" w:rsidP="002F3058">
      <w:r>
        <w:t>Looking at the old-growth definition from ICBEMP (</w:t>
      </w:r>
      <w:hyperlink r:id="rId20" w:history="1">
        <w:r>
          <w:rPr>
            <w:rStyle w:val="Hyperlink"/>
          </w:rPr>
          <w:t>http://www.icbemp.gov/pdfs/sdeis/Volume2/Appendix17a.pdf</w:t>
        </w:r>
      </w:hyperlink>
      <w:r>
        <w:t xml:space="preserve">: </w:t>
      </w:r>
    </w:p>
    <w:p w:rsidR="002F3058" w:rsidRDefault="002F3058" w:rsidP="002F3058">
      <w:pPr>
        <w:ind w:left="720"/>
      </w:pPr>
      <w:r>
        <w:t xml:space="preserve">“old growth is typically distinguished from younger growth by several of the following attributes: 1. Large trees for species and site. 2. </w:t>
      </w:r>
      <w:r w:rsidRPr="004B5DFA">
        <w:rPr>
          <w:b/>
        </w:rPr>
        <w:t>Wide variation in tree sizes and spacing</w:t>
      </w:r>
      <w:r>
        <w:t xml:space="preserve">. 3. </w:t>
      </w:r>
      <w:r w:rsidRPr="004B5DFA">
        <w:rPr>
          <w:b/>
        </w:rPr>
        <w:t>Accumulations of large-size dead standing and fallen trees</w:t>
      </w:r>
      <w:r>
        <w:t xml:space="preserve"> that are high relative to earlier stages. 4. Decadence in the form of broken or deformed tops or bole and root decay. 5. </w:t>
      </w:r>
      <w:r w:rsidRPr="002F32C1">
        <w:rPr>
          <w:b/>
        </w:rPr>
        <w:t>Multiple canopy layers</w:t>
      </w:r>
      <w:r>
        <w:t xml:space="preserve">. 6. Canopy gaps and understory patchiness.” </w:t>
      </w:r>
    </w:p>
    <w:p w:rsidR="002F3058" w:rsidRDefault="002F3058" w:rsidP="002F3058">
      <w:r>
        <w:t>(emphasis added) Removing large trees will directly and significantly interfere with efforts to restore LOS c</w:t>
      </w:r>
      <w:r w:rsidRPr="008D5F16">
        <w:t>omponents including especially “Accumulations of large-size dead standing and fallen trees.”</w:t>
      </w:r>
    </w:p>
    <w:p w:rsidR="002F3058" w:rsidRDefault="002F3058" w:rsidP="002F3058"/>
    <w:p w:rsidR="002F3058" w:rsidRDefault="002F3058" w:rsidP="002F3058">
      <w:r>
        <w:t>LOS “components” to be maintained or enhanced include large trees and large snags and accumulations of dead wood, so thinning small, dense understory trees might help move stands toward LOS, but any action that would remove large trees would not be consistent with the intent of the Eastside Screens.</w:t>
      </w:r>
    </w:p>
    <w:p w:rsidR="002F3058" w:rsidRDefault="002F3058" w:rsidP="002F3058"/>
    <w:p w:rsidR="002F3058" w:rsidRDefault="002F3058" w:rsidP="002F3058">
      <w:r>
        <w:t xml:space="preserve">Recognizing the fact that past logging practices have greatly reduced the abundance of large trees and snags, the Eastside Screens also require that projects use the best available science to meet the intent of 100% potential populations of primary cavity excavators. While the potential population methodology has been discredited the Forest Service must still meet the intent by not taking any action that could reduce populations of primary cavity excavators. This proposed plan amendment directly implicates the conflict between tree removal and snag recruitment. Since the current snag standards are discredited, the FS must adopt new scientifically sound snag standards are part of this process. </w:t>
      </w:r>
    </w:p>
    <w:p w:rsidR="002F3058" w:rsidRDefault="002F3058" w:rsidP="002F3058"/>
    <w:p w:rsidR="002F3058" w:rsidRPr="00CF7717" w:rsidRDefault="002F3058" w:rsidP="002F3058">
      <w:pPr>
        <w:rPr>
          <w:rStyle w:val="apple-converted-space"/>
          <w:color w:val="000000"/>
        </w:rPr>
      </w:pPr>
      <w:r>
        <w:t xml:space="preserve">When exceptions to the Eastside Screens are being considered, such as removing white fir larger than 21” dbh, the agency must recognize that </w:t>
      </w:r>
      <w:r>
        <w:rPr>
          <w:color w:val="000000"/>
        </w:rPr>
        <w:t xml:space="preserve">compelling </w:t>
      </w:r>
      <w:r w:rsidRPr="00CF7717">
        <w:rPr>
          <w:color w:val="000000"/>
        </w:rPr>
        <w:t>ecologic justification for removal of large trees</w:t>
      </w:r>
      <w:r>
        <w:rPr>
          <w:color w:val="000000"/>
        </w:rPr>
        <w:t xml:space="preserve"> are lacking</w:t>
      </w:r>
      <w:r w:rsidRPr="00CF7717">
        <w:rPr>
          <w:color w:val="000000"/>
        </w:rPr>
        <w:t>. Where large trees appear to be abundant</w:t>
      </w:r>
      <w:r>
        <w:rPr>
          <w:color w:val="000000"/>
        </w:rPr>
        <w:t>,</w:t>
      </w:r>
      <w:r w:rsidRPr="00CF7717">
        <w:rPr>
          <w:color w:val="000000"/>
        </w:rPr>
        <w:t xml:space="preserve"> they are helping to compensate for large areas lacking large trees. Where large trees appears to be in competition and </w:t>
      </w:r>
      <w:r>
        <w:rPr>
          <w:color w:val="000000"/>
        </w:rPr>
        <w:t xml:space="preserve">at </w:t>
      </w:r>
      <w:r w:rsidRPr="00CF7717">
        <w:rPr>
          <w:color w:val="000000"/>
        </w:rPr>
        <w:t>risk of mortality, they are just furthering the natural process</w:t>
      </w:r>
      <w:r>
        <w:rPr>
          <w:color w:val="000000"/>
        </w:rPr>
        <w:t>es</w:t>
      </w:r>
      <w:r w:rsidRPr="00CF7717">
        <w:rPr>
          <w:color w:val="000000"/>
        </w:rPr>
        <w:t xml:space="preserve"> that recruit valuable large snags and dead wood.</w:t>
      </w:r>
      <w:r w:rsidRPr="00CF7717">
        <w:rPr>
          <w:rStyle w:val="apple-converted-space"/>
          <w:color w:val="000000"/>
        </w:rPr>
        <w:t> </w:t>
      </w:r>
      <w:r>
        <w:rPr>
          <w:rStyle w:val="apple-converted-space"/>
          <w:color w:val="000000"/>
        </w:rPr>
        <w:t>It is unavoidable that logging large trees has net negative ecological effects and cannot be justified on ecological grounds.  The agency must consider all the trade-offs carefully.</w:t>
      </w:r>
    </w:p>
    <w:p w:rsidR="002F3058" w:rsidRDefault="002F3058" w:rsidP="002F3058">
      <w:pPr>
        <w:rPr>
          <w:rStyle w:val="apple-converted-space"/>
          <w:color w:val="000000"/>
        </w:rPr>
      </w:pPr>
    </w:p>
    <w:p w:rsidR="002F3058" w:rsidRDefault="002F3058" w:rsidP="002F3058">
      <w:r>
        <w:t xml:space="preserve">Before considering any amendment to the diameter limit in the Eastside Screens the Forest Service must document its consideration of, and consistency with, the available guidance about when such amendments might be appropriate. In this case, the most recent guidance is Regional </w:t>
      </w:r>
      <w:r>
        <w:lastRenderedPageBreak/>
        <w:t>Forester James Pe</w:t>
      </w:r>
      <w:r w:rsidRPr="00C173B9">
        <w:rPr>
          <w:color w:val="222222"/>
          <w:shd w:val="clear" w:color="auto" w:fill="FFFFFF"/>
        </w:rPr>
        <w:t>ñ</w:t>
      </w:r>
      <w:r>
        <w:t>a’s Sep</w:t>
      </w:r>
      <w:r w:rsidRPr="00C173B9">
        <w:t>tember 10, 2015</w:t>
      </w:r>
      <w:r>
        <w:t xml:space="preserve"> guidance to Forest Supervisors regarding site-specific amendments to the Eastside Screens. This guidance says “The Eastside Screens were </w:t>
      </w:r>
      <w:r w:rsidRPr="006A2BDB">
        <w:rPr>
          <w:b/>
        </w:rPr>
        <w:t>intended to conserve old forest abundance and wildlife habitat</w:t>
      </w:r>
      <w:r>
        <w:t xml:space="preserve"> in late and old structural stages. </w:t>
      </w:r>
      <w:r w:rsidRPr="006A2BDB">
        <w:rPr>
          <w:b/>
        </w:rPr>
        <w:t>I emphasize these intentions remain in place</w:t>
      </w:r>
      <w:r>
        <w:t>. The direction in this letter and its enclosure, which provides additional information regarding the importance of maintaining Screens …” (emphasis added).</w:t>
      </w:r>
    </w:p>
    <w:p w:rsidR="002F3058" w:rsidRDefault="002F3058" w:rsidP="002F3058"/>
    <w:p w:rsidR="002F3058" w:rsidRDefault="002F3058" w:rsidP="002F3058">
      <w:r>
        <w:t xml:space="preserve">Peña’s 2015 memo is a revision of the 2003 Goodman memo. The bulk of Peña’s guidance regards the </w:t>
      </w:r>
      <w:r w:rsidRPr="00C53176">
        <w:rPr>
          <w:i/>
        </w:rPr>
        <w:t>site-specificity</w:t>
      </w:r>
      <w:r>
        <w:t xml:space="preserve"> of plan amendments. Other important considerations regarding plan amendments for removal of large trees are addressed in Regional Forester Linda Goodman's June 11, 2003 memo to eastside Forest Supervisors. The NEPA analysis for this project needs to provide a clear explanation of how this project meets the requirements of the 2003 guidance memo which says -</w:t>
      </w:r>
    </w:p>
    <w:p w:rsidR="002F3058" w:rsidRDefault="002F3058" w:rsidP="002F3058">
      <w:pPr>
        <w:ind w:left="720"/>
      </w:pPr>
      <w:r>
        <w:t>"</w:t>
      </w:r>
      <w:r w:rsidRPr="00E87B5D">
        <w:rPr>
          <w:b/>
        </w:rPr>
        <w:t>science findings ... reinforce the importance of retaining and recruiting large, old trees in the eastside landscape</w:t>
      </w:r>
      <w:r>
        <w:t>. ...  </w:t>
      </w:r>
      <w:r w:rsidRPr="00E87B5D">
        <w:rPr>
          <w:b/>
        </w:rPr>
        <w:t>The objective of increasing the number of large trees and LOS stands on the landscape remains</w:t>
      </w:r>
      <w:r>
        <w:t xml:space="preserve">.  Economic considerations are important but are not considered adequate justification alone for conducting harvest activities in LOS stands. I encourage you to coordinate with the Regional screens team and Regional planning staff as site-specific Forest Plan amendments are developed." </w:t>
      </w:r>
    </w:p>
    <w:p w:rsidR="002F3058" w:rsidRDefault="002F3058" w:rsidP="002F3058">
      <w:r>
        <w:t>The memo does not recommend changing the underlying restoration goal of the screens, but rather "to consider site-specific Forest plan amendments where this will better meet LOS objectives by moving the landscape towards HRV, and providing LOS for the habitat needs of associated wildlife species." Amendments calling for removal of large trees, especially those not in direct competition with legacy trees, ARE changing the goals of the Eastside Screens to emphasize restoring species composition, and de-emphasize large tree conservation. There is no compelling ecological support for this change.</w:t>
      </w:r>
    </w:p>
    <w:p w:rsidR="002F3058" w:rsidRDefault="002F3058" w:rsidP="002F3058"/>
    <w:p w:rsidR="002F3058" w:rsidRDefault="002F3058" w:rsidP="002F3058">
      <w:r w:rsidRPr="00F75B43">
        <w:t xml:space="preserve">The enclosure to the </w:t>
      </w:r>
      <w:r>
        <w:t xml:space="preserve">2003 Goodman </w:t>
      </w:r>
      <w:r w:rsidRPr="00F75B43">
        <w:t xml:space="preserve">memo says "These findings reinforce the importance of retaining and recruiting large, old trees in the eastside landscape, ....  </w:t>
      </w:r>
      <w:r w:rsidRPr="00E87B5D">
        <w:rPr>
          <w:b/>
        </w:rPr>
        <w:t>It is critical that silvicultural prescriptions provide for large snags in adequate numbers (as indicated by DecAID and other tools) through time to provide habitat for these species</w:t>
      </w:r>
      <w:r w:rsidRPr="00F75B43">
        <w:t>." This indicates not only that retention of large trees continues to be important, but also indicates that the FS must use quantitative methods (such as DecAID) to determine when adequate numbers of large snags and large green recruitment trees are available</w:t>
      </w:r>
      <w:r>
        <w:t xml:space="preserve">. </w:t>
      </w:r>
    </w:p>
    <w:p w:rsidR="002F3058" w:rsidRDefault="002F3058" w:rsidP="002F3058"/>
    <w:p w:rsidR="002F3058" w:rsidRDefault="002F3058" w:rsidP="002F3058">
      <w:r>
        <w:t>The enclosure to the Regional Forester’s memo specifically mentions five wildlife species that need adequate numbers of large trees that turn into large snags, </w:t>
      </w:r>
    </w:p>
    <w:p w:rsidR="002F3058" w:rsidRDefault="002F3058" w:rsidP="002F3058">
      <w:pPr>
        <w:ind w:left="720"/>
      </w:pPr>
      <w:r>
        <w:t>Pygmy nuthatch: 18-34 inches or larger</w:t>
      </w:r>
    </w:p>
    <w:p w:rsidR="002F3058" w:rsidRDefault="002F3058" w:rsidP="002F3058">
      <w:pPr>
        <w:ind w:left="720"/>
      </w:pPr>
      <w:r>
        <w:t>White-headed woodpecker:  18-36 inches or larger</w:t>
      </w:r>
    </w:p>
    <w:p w:rsidR="002F3058" w:rsidRDefault="002F3058" w:rsidP="002F3058">
      <w:pPr>
        <w:ind w:left="720"/>
      </w:pPr>
      <w:r>
        <w:t>Pileated woodpecker (an MIS):  20-35 inches or larger</w:t>
      </w:r>
    </w:p>
    <w:p w:rsidR="002F3058" w:rsidRDefault="002F3058" w:rsidP="002F3058">
      <w:pPr>
        <w:ind w:left="720"/>
      </w:pPr>
      <w:proofErr w:type="spellStart"/>
      <w:r>
        <w:lastRenderedPageBreak/>
        <w:t>Flammulated</w:t>
      </w:r>
      <w:proofErr w:type="spellEnd"/>
      <w:r>
        <w:t xml:space="preserve"> owl: 6-53 inches or larger [and]</w:t>
      </w:r>
    </w:p>
    <w:p w:rsidR="002F3058" w:rsidRDefault="002F3058" w:rsidP="002F3058">
      <w:pPr>
        <w:ind w:left="720"/>
      </w:pPr>
      <w:r>
        <w:t>Fisher ... Data from DecAID indicate that 70 percent of fishers use snags between 27 and 47 inches DBH.  Radio telemetry studies indicate that snag densities in telemetry locations of fishers are significantly greater than those of random sites.</w:t>
      </w:r>
    </w:p>
    <w:p w:rsidR="002F3058" w:rsidRDefault="002F3058" w:rsidP="002F3058">
      <w:r>
        <w:t xml:space="preserve">Many additional species are also reliant on dead wood and intended to benefit from the LOS restoration standards in the Eastside Screens, and DecAID provides a long list of key ecological functions of snags in Ppine/Doug fir forests. </w:t>
      </w:r>
      <w:hyperlink r:id="rId21" w:anchor="ECOLOGICAL%20FUNCTIONS%20AND%20PROCESSES%20OF%20DECAYED%20WOOD%20ELEMENTS" w:history="1">
        <w:r>
          <w:rPr>
            <w:rStyle w:val="Hyperlink"/>
          </w:rPr>
          <w:t>https://apps.fs.usda.gov/r6_decaid/legacy/decaid/queries/emcf-e-cscds-bmt/lrgr-trs/narrative.html#ECOLOGICAL%20FUNCTIONS%20AND%20PROCESSES%20OF%20DECAYED%20WOOD%20ELEMENTS</w:t>
        </w:r>
      </w:hyperlink>
      <w:r>
        <w:t>. Any amendments proposed for removal of large trees must disclose whether and how the needs of these species will be met over time.</w:t>
      </w:r>
    </w:p>
    <w:p w:rsidR="002F3058" w:rsidRDefault="002F3058" w:rsidP="002F3058"/>
    <w:p w:rsidR="002F3058" w:rsidRDefault="002F3058" w:rsidP="002F3058">
      <w:r>
        <w:t xml:space="preserve">The NEPA analysis must take a hard look at the habitat needs of primary cavity excavators over the long term. It is not enough to meet the needs of woodpeckers for a few years after harvest. Maintaining viable populations of primary cavity excavators will require retention of virtually all the </w:t>
      </w:r>
      <w:proofErr w:type="spellStart"/>
      <w:r>
        <w:t>overstory</w:t>
      </w:r>
      <w:proofErr w:type="spellEnd"/>
      <w:r>
        <w:t xml:space="preserve"> trees so that there is a long-term supply of snags and dead wood.</w:t>
      </w:r>
    </w:p>
    <w:p w:rsidR="002F3058" w:rsidRDefault="002F3058" w:rsidP="002F3058">
      <w:pPr>
        <w:rPr>
          <w:rStyle w:val="apple-converted-space"/>
          <w:color w:val="000000"/>
        </w:rPr>
      </w:pPr>
    </w:p>
    <w:p w:rsidR="002F3058" w:rsidRDefault="002F3058" w:rsidP="002F3058">
      <w:pPr>
        <w:rPr>
          <w:rStyle w:val="apple-converted-space"/>
          <w:color w:val="000000"/>
        </w:rPr>
      </w:pPr>
      <w:r>
        <w:rPr>
          <w:rStyle w:val="apple-converted-space"/>
          <w:color w:val="000000"/>
        </w:rPr>
        <w:t>Shifting species composition has become a popular rationale for removing large trees. Johnson &amp; Franklin (2013) review several considerations that the agency should make:</w:t>
      </w:r>
    </w:p>
    <w:p w:rsidR="002F3058" w:rsidRDefault="002F3058" w:rsidP="002F3058">
      <w:pPr>
        <w:ind w:left="720"/>
        <w:rPr>
          <w:rFonts w:ascii="MinionPro-Regular" w:hAnsi="MinionPro-Regular"/>
          <w:color w:val="231F20"/>
        </w:rPr>
      </w:pPr>
      <w:r w:rsidRPr="00ED43D2">
        <w:rPr>
          <w:b/>
          <w:color w:val="231F20"/>
        </w:rPr>
        <w:t>Shift Tree Composition towards More Fire- and</w:t>
      </w:r>
      <w:r>
        <w:rPr>
          <w:b/>
          <w:color w:val="231F20"/>
        </w:rPr>
        <w:t xml:space="preserve"> </w:t>
      </w:r>
      <w:r w:rsidRPr="00ED43D2">
        <w:rPr>
          <w:b/>
          <w:color w:val="231F20"/>
        </w:rPr>
        <w:t>Drought-Tolerant Species</w:t>
      </w:r>
      <w:r>
        <w:rPr>
          <w:rFonts w:ascii="MyriadPro-Regular" w:hAnsi="MyriadPro-Regular"/>
          <w:color w:val="231F20"/>
          <w:sz w:val="28"/>
          <w:szCs w:val="28"/>
        </w:rPr>
        <w:br/>
      </w:r>
      <w:r>
        <w:rPr>
          <w:rFonts w:ascii="MinionPro-Regular" w:hAnsi="MinionPro-Regular"/>
          <w:color w:val="231F20"/>
        </w:rPr>
        <w:t xml:space="preserve">   Restoring the dominance of fire- and drought-tolerant species in Dry Forests is fundamental to increasing resilience. …. </w:t>
      </w:r>
    </w:p>
    <w:p w:rsidR="002F3058" w:rsidRDefault="002F3058" w:rsidP="002F3058">
      <w:pPr>
        <w:ind w:left="720"/>
        <w:rPr>
          <w:rFonts w:ascii="MinionPro-Regular" w:hAnsi="MinionPro-Regular"/>
          <w:color w:val="231F20"/>
        </w:rPr>
      </w:pPr>
      <w:r>
        <w:rPr>
          <w:rFonts w:ascii="MinionPro-Regular" w:hAnsi="MinionPro-Regular"/>
          <w:color w:val="231F20"/>
        </w:rPr>
        <w:t xml:space="preserve">   The desired proportion of fire-tolerant to fire-intolerant species will vary by PAG. On sites historically dominated by ponderosa pine, meeting wildlife, fire and fuels, and resilience objectives may involve leaving almost 100% of a stand’s post-treatment basal area in pines. In the more productive Dry Mixed-Conifer stands, some Douglas-fir or grand/white fir may need to be left to achieve residual basal area objectives.</w:t>
      </w:r>
      <w:r>
        <w:rPr>
          <w:rFonts w:ascii="MinionPro-Regular" w:hAnsi="MinionPro-Regular"/>
          <w:color w:val="231F20"/>
        </w:rPr>
        <w:br/>
        <w:t xml:space="preserve">   Restoring species composition towards historical levels can often mean removing large but younger (&lt;150 year) grand/white fir and Douglas-fir to favor pines and western larch. </w:t>
      </w:r>
      <w:r w:rsidRPr="00ED43D2">
        <w:rPr>
          <w:rFonts w:ascii="MinionPro-Regular" w:hAnsi="MinionPro-Regular"/>
          <w:color w:val="231F20"/>
        </w:rPr>
        <w:t>Hard</w:t>
      </w:r>
      <w:r>
        <w:rPr>
          <w:rFonts w:ascii="MinionPro-Regular" w:hAnsi="MinionPro-Regular"/>
          <w:color w:val="231F20"/>
        </w:rPr>
        <w:t xml:space="preserve"> </w:t>
      </w:r>
      <w:r w:rsidRPr="00ED43D2">
        <w:rPr>
          <w:rFonts w:ascii="MinionPro-Regular" w:hAnsi="MinionPro-Regular"/>
          <w:color w:val="231F20"/>
        </w:rPr>
        <w:t>diameter limits, such as a 21-inch dbh limit, can make it difficult</w:t>
      </w:r>
      <w:r>
        <w:rPr>
          <w:rFonts w:ascii="MinionPro-Regular" w:hAnsi="MinionPro-Regular"/>
          <w:color w:val="231F20"/>
        </w:rPr>
        <w:t xml:space="preserve"> </w:t>
      </w:r>
      <w:r w:rsidRPr="00ED43D2">
        <w:rPr>
          <w:rFonts w:ascii="MinionPro-Regular" w:hAnsi="MinionPro-Regular"/>
          <w:color w:val="231F20"/>
        </w:rPr>
        <w:t>or impossible to achieve desired composition in many Mixed</w:t>
      </w:r>
      <w:r>
        <w:rPr>
          <w:rFonts w:ascii="MinionPro-Regular" w:hAnsi="MinionPro-Regular"/>
          <w:color w:val="231F20"/>
        </w:rPr>
        <w:t>-</w:t>
      </w:r>
      <w:r w:rsidRPr="00ED43D2">
        <w:rPr>
          <w:rFonts w:ascii="MinionPro-Regular" w:hAnsi="MinionPro-Regular"/>
          <w:color w:val="231F20"/>
        </w:rPr>
        <w:t xml:space="preserve">Conifer </w:t>
      </w:r>
      <w:r>
        <w:rPr>
          <w:rFonts w:ascii="MinionPro-Regular" w:hAnsi="MinionPro-Regular"/>
          <w:color w:val="231F20"/>
        </w:rPr>
        <w:t>F</w:t>
      </w:r>
      <w:r w:rsidRPr="00ED43D2">
        <w:rPr>
          <w:rFonts w:ascii="MinionPro-Regular" w:hAnsi="MinionPro-Regular"/>
          <w:color w:val="231F20"/>
        </w:rPr>
        <w:t>orests, which would compromise their future resilience.</w:t>
      </w:r>
      <w:r>
        <w:rPr>
          <w:rFonts w:ascii="MinionPro-Regular" w:hAnsi="MinionPro-Regular"/>
          <w:color w:val="231F20"/>
        </w:rPr>
        <w:t xml:space="preserve"> </w:t>
      </w:r>
      <w:r w:rsidRPr="00ED43D2">
        <w:rPr>
          <w:rFonts w:ascii="MinionPro-Regular" w:hAnsi="MinionPro-Regular"/>
          <w:color w:val="231F20"/>
        </w:rPr>
        <w:t>At the same time, large, young fir trees provide important wildlife</w:t>
      </w:r>
      <w:r>
        <w:rPr>
          <w:rFonts w:ascii="MinionPro-Regular" w:hAnsi="MinionPro-Regular"/>
          <w:color w:val="231F20"/>
        </w:rPr>
        <w:t xml:space="preserve">  </w:t>
      </w:r>
      <w:r w:rsidRPr="00ED43D2">
        <w:rPr>
          <w:rFonts w:ascii="MinionPro-Regular" w:hAnsi="MinionPro-Regular"/>
          <w:color w:val="231F20"/>
        </w:rPr>
        <w:t>habitat in their live, standing dead and down states, so some often</w:t>
      </w:r>
      <w:r>
        <w:rPr>
          <w:rFonts w:ascii="MinionPro-Regular" w:hAnsi="MinionPro-Regular"/>
          <w:color w:val="231F20"/>
        </w:rPr>
        <w:t xml:space="preserve"> </w:t>
      </w:r>
      <w:r w:rsidRPr="00ED43D2">
        <w:rPr>
          <w:rFonts w:ascii="MinionPro-Regular" w:hAnsi="MinionPro-Regular"/>
          <w:color w:val="231F20"/>
        </w:rPr>
        <w:t>should be retained (Box 5).</w:t>
      </w:r>
    </w:p>
    <w:p w:rsidR="002F3058" w:rsidRDefault="002F3058" w:rsidP="002F3058">
      <w:pPr>
        <w:ind w:left="720"/>
        <w:rPr>
          <w:rFonts w:ascii="MinionPro-Regular" w:hAnsi="MinionPro-Regular"/>
          <w:color w:val="231F20"/>
        </w:rPr>
      </w:pPr>
      <w:r>
        <w:rPr>
          <w:rFonts w:ascii="MinionPro-Regular" w:hAnsi="MinionPro-Regular"/>
          <w:color w:val="231F20"/>
        </w:rPr>
        <w:t>…</w:t>
      </w:r>
    </w:p>
    <w:p w:rsidR="002F3058" w:rsidRPr="00ED43D2" w:rsidRDefault="002F3058" w:rsidP="002F3058">
      <w:pPr>
        <w:ind w:left="720"/>
        <w:rPr>
          <w:rStyle w:val="apple-converted-space"/>
          <w:b/>
          <w:color w:val="000000"/>
        </w:rPr>
      </w:pPr>
      <w:r w:rsidRPr="00ED43D2">
        <w:rPr>
          <w:rStyle w:val="apple-converted-space"/>
          <w:b/>
          <w:color w:val="000000"/>
        </w:rPr>
        <w:t>Box 5: Deciding Which Larger Grand/White Fir to Retain</w:t>
      </w:r>
      <w:r>
        <w:rPr>
          <w:rStyle w:val="apple-converted-space"/>
          <w:b/>
          <w:color w:val="000000"/>
        </w:rPr>
        <w:t xml:space="preserve"> </w:t>
      </w:r>
      <w:r w:rsidRPr="00ED43D2">
        <w:rPr>
          <w:rStyle w:val="apple-converted-space"/>
          <w:b/>
          <w:color w:val="000000"/>
        </w:rPr>
        <w:t>or Remove During Restoration</w:t>
      </w:r>
    </w:p>
    <w:p w:rsidR="002F3058" w:rsidRPr="00ED43D2" w:rsidRDefault="002F3058" w:rsidP="002F3058">
      <w:pPr>
        <w:ind w:left="720"/>
        <w:rPr>
          <w:rStyle w:val="apple-converted-space"/>
          <w:color w:val="000000"/>
        </w:rPr>
      </w:pPr>
      <w:r w:rsidRPr="00ED43D2">
        <w:rPr>
          <w:rStyle w:val="apple-converted-space"/>
          <w:color w:val="000000"/>
        </w:rPr>
        <w:t>Deciding how many and which larger grand or white fir to retain</w:t>
      </w:r>
      <w:r>
        <w:rPr>
          <w:rStyle w:val="apple-converted-space"/>
          <w:color w:val="000000"/>
        </w:rPr>
        <w:t xml:space="preserve"> </w:t>
      </w:r>
      <w:r w:rsidRPr="00ED43D2">
        <w:rPr>
          <w:rStyle w:val="apple-converted-space"/>
          <w:color w:val="000000"/>
        </w:rPr>
        <w:t>and which to remove can be a challenging question for managers,</w:t>
      </w:r>
      <w:r>
        <w:rPr>
          <w:rStyle w:val="apple-converted-space"/>
          <w:color w:val="000000"/>
        </w:rPr>
        <w:t xml:space="preserve"> </w:t>
      </w:r>
      <w:r w:rsidRPr="00ED43D2">
        <w:rPr>
          <w:rStyle w:val="apple-converted-space"/>
          <w:color w:val="000000"/>
        </w:rPr>
        <w:t>stakeholders, and marking crews, particularly when there are no</w:t>
      </w:r>
      <w:r>
        <w:rPr>
          <w:rStyle w:val="apple-converted-space"/>
          <w:color w:val="000000"/>
        </w:rPr>
        <w:t xml:space="preserve"> </w:t>
      </w:r>
      <w:r w:rsidRPr="00ED43D2">
        <w:rPr>
          <w:rStyle w:val="apple-converted-space"/>
          <w:color w:val="000000"/>
        </w:rPr>
        <w:t xml:space="preserve">diameter limits (e.g., trees &gt;21" dbh) or where diameter </w:t>
      </w:r>
      <w:r w:rsidRPr="00ED43D2">
        <w:rPr>
          <w:rStyle w:val="apple-converted-space"/>
          <w:color w:val="000000"/>
        </w:rPr>
        <w:lastRenderedPageBreak/>
        <w:t>limits have</w:t>
      </w:r>
      <w:r>
        <w:rPr>
          <w:rStyle w:val="apple-converted-space"/>
          <w:color w:val="000000"/>
        </w:rPr>
        <w:t xml:space="preserve"> </w:t>
      </w:r>
      <w:r w:rsidRPr="00ED43D2">
        <w:rPr>
          <w:rStyle w:val="apple-converted-space"/>
          <w:color w:val="000000"/>
        </w:rPr>
        <w:t>been suspended. Large grand/white firs are often abundant on sites</w:t>
      </w:r>
      <w:r>
        <w:rPr>
          <w:rStyle w:val="apple-converted-space"/>
          <w:color w:val="000000"/>
        </w:rPr>
        <w:t xml:space="preserve"> </w:t>
      </w:r>
      <w:r w:rsidRPr="00ED43D2">
        <w:rPr>
          <w:rStyle w:val="apple-converted-space"/>
          <w:color w:val="000000"/>
        </w:rPr>
        <w:t>where they are poorly adapted or unwanted as potential fuel or a</w:t>
      </w:r>
      <w:r>
        <w:rPr>
          <w:rStyle w:val="apple-converted-space"/>
          <w:color w:val="000000"/>
        </w:rPr>
        <w:t xml:space="preserve"> </w:t>
      </w:r>
      <w:r w:rsidRPr="00ED43D2">
        <w:rPr>
          <w:rStyle w:val="apple-converted-space"/>
          <w:color w:val="000000"/>
        </w:rPr>
        <w:t xml:space="preserve">continuing source of grand/white fir seed. On the other hand, </w:t>
      </w:r>
      <w:r w:rsidRPr="0081739A">
        <w:rPr>
          <w:rStyle w:val="apple-converted-space"/>
          <w:b/>
          <w:color w:val="000000"/>
        </w:rPr>
        <w:t>larger grand/white firs often make up a large percentage of the basal area and provide important wildlife habitat.</w:t>
      </w:r>
      <w:r w:rsidRPr="00ED43D2">
        <w:rPr>
          <w:rStyle w:val="apple-converted-space"/>
          <w:color w:val="000000"/>
        </w:rPr>
        <w:t xml:space="preserve"> So, what to do? Let’s begin by</w:t>
      </w:r>
      <w:r>
        <w:rPr>
          <w:rStyle w:val="apple-converted-space"/>
          <w:color w:val="000000"/>
        </w:rPr>
        <w:t xml:space="preserve"> </w:t>
      </w:r>
      <w:r w:rsidRPr="00ED43D2">
        <w:rPr>
          <w:rStyle w:val="apple-converted-space"/>
          <w:color w:val="000000"/>
        </w:rPr>
        <w:t>looking at some attributes of grand/white firs and then examine factors</w:t>
      </w:r>
      <w:r>
        <w:rPr>
          <w:rStyle w:val="apple-converted-space"/>
          <w:color w:val="000000"/>
        </w:rPr>
        <w:t xml:space="preserve"> </w:t>
      </w:r>
      <w:r w:rsidRPr="00ED43D2">
        <w:rPr>
          <w:rStyle w:val="apple-converted-space"/>
          <w:color w:val="000000"/>
        </w:rPr>
        <w:t>favoring retention or removal. Do remember that all older (e.g., greater</w:t>
      </w:r>
      <w:r>
        <w:rPr>
          <w:rStyle w:val="apple-converted-space"/>
          <w:color w:val="000000"/>
        </w:rPr>
        <w:t xml:space="preserve"> </w:t>
      </w:r>
      <w:r w:rsidRPr="00ED43D2">
        <w:rPr>
          <w:rStyle w:val="apple-converted-space"/>
          <w:color w:val="000000"/>
        </w:rPr>
        <w:t>than approximately 150 year old) grand/white firs should generally be</w:t>
      </w:r>
      <w:r>
        <w:rPr>
          <w:rStyle w:val="apple-converted-space"/>
          <w:color w:val="000000"/>
        </w:rPr>
        <w:t xml:space="preserve"> </w:t>
      </w:r>
      <w:r w:rsidRPr="00ED43D2">
        <w:rPr>
          <w:rStyle w:val="apple-converted-space"/>
          <w:color w:val="000000"/>
        </w:rPr>
        <w:t>retained along with older trees of other species.</w:t>
      </w:r>
    </w:p>
    <w:p w:rsidR="002F3058" w:rsidRPr="00ED43D2" w:rsidRDefault="002F3058" w:rsidP="002F3058">
      <w:pPr>
        <w:ind w:left="720"/>
        <w:rPr>
          <w:rStyle w:val="apple-converted-space"/>
          <w:color w:val="000000"/>
        </w:rPr>
      </w:pPr>
      <w:r>
        <w:rPr>
          <w:rStyle w:val="apple-converted-space"/>
          <w:color w:val="000000"/>
        </w:rPr>
        <w:t xml:space="preserve">   </w:t>
      </w:r>
      <w:r w:rsidRPr="00ED43D2">
        <w:rPr>
          <w:rStyle w:val="apple-converted-space"/>
          <w:color w:val="000000"/>
        </w:rPr>
        <w:t>Grand/white firs have the potential to grow fast and to larger sizes</w:t>
      </w:r>
      <w:r>
        <w:rPr>
          <w:rStyle w:val="apple-converted-space"/>
          <w:color w:val="000000"/>
        </w:rPr>
        <w:t xml:space="preserve"> </w:t>
      </w:r>
      <w:r w:rsidRPr="00ED43D2">
        <w:rPr>
          <w:rStyle w:val="apple-converted-space"/>
          <w:color w:val="000000"/>
        </w:rPr>
        <w:t>relatively quickly on sites that are environmentally favorable, such as</w:t>
      </w:r>
      <w:r>
        <w:rPr>
          <w:rStyle w:val="apple-converted-space"/>
          <w:color w:val="000000"/>
        </w:rPr>
        <w:t xml:space="preserve"> </w:t>
      </w:r>
      <w:r w:rsidRPr="00ED43D2">
        <w:rPr>
          <w:rStyle w:val="apple-converted-space"/>
          <w:color w:val="000000"/>
        </w:rPr>
        <w:t>Moist Mixed-Conifer sites. They are aggressive regenerators, producing</w:t>
      </w:r>
      <w:r>
        <w:rPr>
          <w:rStyle w:val="apple-converted-space"/>
          <w:color w:val="000000"/>
        </w:rPr>
        <w:t xml:space="preserve"> </w:t>
      </w:r>
      <w:r w:rsidRPr="00ED43D2">
        <w:rPr>
          <w:rStyle w:val="apple-converted-space"/>
          <w:color w:val="000000"/>
        </w:rPr>
        <w:t>large seed crops at frequent intervals. Grand/white firs are highly shade</w:t>
      </w:r>
      <w:r>
        <w:rPr>
          <w:rStyle w:val="apple-converted-space"/>
          <w:color w:val="000000"/>
        </w:rPr>
        <w:t xml:space="preserve"> </w:t>
      </w:r>
      <w:r w:rsidRPr="00ED43D2">
        <w:rPr>
          <w:rStyle w:val="apple-converted-space"/>
          <w:color w:val="000000"/>
        </w:rPr>
        <w:t>tolerant and typically retain lower branches as they grow into saplings</w:t>
      </w:r>
      <w:r>
        <w:rPr>
          <w:rStyle w:val="apple-converted-space"/>
          <w:color w:val="000000"/>
        </w:rPr>
        <w:t xml:space="preserve"> </w:t>
      </w:r>
      <w:r w:rsidRPr="00ED43D2">
        <w:rPr>
          <w:rStyle w:val="apple-converted-space"/>
          <w:color w:val="000000"/>
        </w:rPr>
        <w:t>and poles, creating potential fuel ladders. While growth during the first</w:t>
      </w:r>
      <w:r>
        <w:rPr>
          <w:rStyle w:val="apple-converted-space"/>
          <w:color w:val="000000"/>
        </w:rPr>
        <w:t xml:space="preserve"> </w:t>
      </w:r>
      <w:r w:rsidRPr="00ED43D2">
        <w:rPr>
          <w:rStyle w:val="apple-converted-space"/>
          <w:color w:val="000000"/>
        </w:rPr>
        <w:t>century is often rapid, grand/white firs are relatively short-lived species</w:t>
      </w:r>
      <w:r>
        <w:rPr>
          <w:rStyle w:val="apple-converted-space"/>
          <w:color w:val="000000"/>
        </w:rPr>
        <w:t xml:space="preserve"> </w:t>
      </w:r>
      <w:r w:rsidRPr="00ED43D2">
        <w:rPr>
          <w:rStyle w:val="apple-converted-space"/>
          <w:color w:val="000000"/>
        </w:rPr>
        <w:t xml:space="preserve">with low resistance to trunk, butt, and root rots, insect </w:t>
      </w:r>
      <w:r>
        <w:rPr>
          <w:rStyle w:val="apple-converted-space"/>
          <w:color w:val="000000"/>
        </w:rPr>
        <w:t xml:space="preserve"> d</w:t>
      </w:r>
      <w:r w:rsidRPr="00ED43D2">
        <w:rPr>
          <w:rStyle w:val="apple-converted-space"/>
          <w:color w:val="000000"/>
        </w:rPr>
        <w:t>efoliators</w:t>
      </w:r>
      <w:r>
        <w:rPr>
          <w:rStyle w:val="apple-converted-space"/>
          <w:color w:val="000000"/>
        </w:rPr>
        <w:t xml:space="preserve"> </w:t>
      </w:r>
      <w:r w:rsidRPr="00ED43D2">
        <w:rPr>
          <w:rStyle w:val="apple-converted-space"/>
          <w:color w:val="000000"/>
        </w:rPr>
        <w:t>(especially spruce budworm), and bark beetles, among other afflictions</w:t>
      </w:r>
      <w:r>
        <w:rPr>
          <w:rStyle w:val="apple-converted-space"/>
          <w:color w:val="000000"/>
        </w:rPr>
        <w:t xml:space="preserve"> </w:t>
      </w:r>
      <w:r w:rsidRPr="00ED43D2">
        <w:rPr>
          <w:rStyle w:val="apple-converted-space"/>
          <w:color w:val="000000"/>
        </w:rPr>
        <w:t>(Table 1). Hence, mature (e.g., approximately 100 year old) stands</w:t>
      </w:r>
      <w:r>
        <w:rPr>
          <w:rStyle w:val="apple-converted-space"/>
          <w:color w:val="000000"/>
        </w:rPr>
        <w:t xml:space="preserve"> </w:t>
      </w:r>
      <w:r w:rsidRPr="00ED43D2">
        <w:rPr>
          <w:rStyle w:val="apple-converted-space"/>
          <w:color w:val="000000"/>
        </w:rPr>
        <w:t>dominated by white or grand fir can be expected to fall apart during</w:t>
      </w:r>
      <w:r>
        <w:rPr>
          <w:rStyle w:val="apple-converted-space"/>
          <w:color w:val="000000"/>
        </w:rPr>
        <w:t xml:space="preserve"> </w:t>
      </w:r>
      <w:r w:rsidRPr="00ED43D2">
        <w:rPr>
          <w:rStyle w:val="apple-converted-space"/>
          <w:color w:val="000000"/>
        </w:rPr>
        <w:t>their second century because of high levels of tree mortality, although</w:t>
      </w:r>
      <w:r>
        <w:rPr>
          <w:rStyle w:val="apple-converted-space"/>
          <w:color w:val="000000"/>
        </w:rPr>
        <w:t xml:space="preserve"> </w:t>
      </w:r>
      <w:r w:rsidRPr="00ED43D2">
        <w:rPr>
          <w:rStyle w:val="apple-converted-space"/>
          <w:color w:val="000000"/>
        </w:rPr>
        <w:t>individual trees may survive for 200 years or more. Grand/white firs are</w:t>
      </w:r>
      <w:r>
        <w:rPr>
          <w:rStyle w:val="apple-converted-space"/>
          <w:color w:val="000000"/>
        </w:rPr>
        <w:t xml:space="preserve"> </w:t>
      </w:r>
      <w:r w:rsidRPr="00ED43D2">
        <w:rPr>
          <w:rStyle w:val="apple-converted-space"/>
          <w:color w:val="000000"/>
        </w:rPr>
        <w:t>decay prone in the dead as well as the live state, so persistence as a</w:t>
      </w:r>
      <w:r>
        <w:rPr>
          <w:rStyle w:val="apple-converted-space"/>
          <w:color w:val="000000"/>
        </w:rPr>
        <w:t xml:space="preserve"> </w:t>
      </w:r>
      <w:r w:rsidRPr="00ED43D2">
        <w:rPr>
          <w:rStyle w:val="apple-converted-space"/>
          <w:color w:val="000000"/>
        </w:rPr>
        <w:t>snag or down log is short. Grand/white firs are also highly vulnerable to</w:t>
      </w:r>
      <w:r>
        <w:rPr>
          <w:rStyle w:val="apple-converted-space"/>
          <w:color w:val="000000"/>
        </w:rPr>
        <w:t xml:space="preserve"> </w:t>
      </w:r>
      <w:r w:rsidRPr="00ED43D2">
        <w:rPr>
          <w:rStyle w:val="apple-converted-space"/>
          <w:color w:val="000000"/>
        </w:rPr>
        <w:t>damage or death by wildfire or drought.</w:t>
      </w:r>
    </w:p>
    <w:p w:rsidR="002F3058" w:rsidRPr="00ED43D2" w:rsidRDefault="002F3058" w:rsidP="002F3058">
      <w:pPr>
        <w:ind w:left="720"/>
        <w:rPr>
          <w:rStyle w:val="apple-converted-space"/>
          <w:color w:val="000000"/>
        </w:rPr>
      </w:pPr>
      <w:r>
        <w:rPr>
          <w:rStyle w:val="apple-converted-space"/>
          <w:color w:val="000000"/>
        </w:rPr>
        <w:t xml:space="preserve">   </w:t>
      </w:r>
      <w:r w:rsidRPr="0081739A">
        <w:rPr>
          <w:rStyle w:val="apple-converted-space"/>
          <w:b/>
          <w:color w:val="000000"/>
        </w:rPr>
        <w:t>Why would we retain larger young grand/white firs in restoration treatments, given their vulnerability to disease, insects, fire, and drought? One major reason might be the desire to retain some larger diameter trees as part of the residual stand, and a second may be that retaining grand/white fir could help achieve the target residual stand structure (e.g., basal area or tpa) where this species is a major  component.</w:t>
      </w:r>
      <w:r w:rsidRPr="00ED43D2">
        <w:rPr>
          <w:rStyle w:val="apple-converted-space"/>
          <w:color w:val="000000"/>
        </w:rPr>
        <w:t xml:space="preserve"> Grand/</w:t>
      </w:r>
      <w:r>
        <w:rPr>
          <w:rStyle w:val="apple-converted-space"/>
          <w:color w:val="000000"/>
        </w:rPr>
        <w:t xml:space="preserve"> </w:t>
      </w:r>
      <w:r w:rsidRPr="00ED43D2">
        <w:rPr>
          <w:rStyle w:val="apple-converted-space"/>
          <w:color w:val="000000"/>
        </w:rPr>
        <w:t xml:space="preserve">white firs may be a good choice for retention where rapid </w:t>
      </w:r>
      <w:r>
        <w:rPr>
          <w:rStyle w:val="apple-converted-space"/>
          <w:color w:val="000000"/>
        </w:rPr>
        <w:t xml:space="preserve"> g</w:t>
      </w:r>
      <w:r w:rsidRPr="00ED43D2">
        <w:rPr>
          <w:rStyle w:val="apple-converted-space"/>
          <w:color w:val="000000"/>
        </w:rPr>
        <w:t>rowth in wood volume is a major objective in the restored stand, however wildlife</w:t>
      </w:r>
      <w:r>
        <w:rPr>
          <w:rStyle w:val="apple-converted-space"/>
          <w:color w:val="000000"/>
        </w:rPr>
        <w:t xml:space="preserve"> </w:t>
      </w:r>
      <w:r w:rsidRPr="00ED43D2">
        <w:rPr>
          <w:rStyle w:val="apple-converted-space"/>
          <w:color w:val="000000"/>
        </w:rPr>
        <w:t>habitat is more likely to be a reason for retaining larger grand/white firs.</w:t>
      </w:r>
      <w:r>
        <w:rPr>
          <w:rStyle w:val="apple-converted-space"/>
          <w:color w:val="000000"/>
        </w:rPr>
        <w:t xml:space="preserve"> </w:t>
      </w:r>
      <w:r w:rsidRPr="0081739A">
        <w:rPr>
          <w:rStyle w:val="apple-converted-space"/>
          <w:b/>
          <w:color w:val="000000"/>
        </w:rPr>
        <w:t>Larger grand/white firs often have decadent features, like cavities, decay pockets, and brooms, which are useful to wildlife. Furthermore, many of these trees are important sources of snags and logs, since most will die in the near future (e.g., 50 years). For example, grand/white firs hollowed by Indian paint fungus may be opened up by pileated woodpeckers and later used by Vaux swifts. Finally, grand/white firs produce seed crops that are valuable to some wildlife, including Douglas squirrels.</w:t>
      </w:r>
    </w:p>
    <w:p w:rsidR="002F3058" w:rsidRPr="00ED43D2" w:rsidRDefault="002F3058" w:rsidP="002F3058">
      <w:pPr>
        <w:ind w:left="720"/>
        <w:rPr>
          <w:rStyle w:val="apple-converted-space"/>
          <w:color w:val="000000"/>
        </w:rPr>
      </w:pPr>
      <w:r>
        <w:rPr>
          <w:rStyle w:val="apple-converted-space"/>
          <w:color w:val="000000"/>
        </w:rPr>
        <w:t xml:space="preserve">   </w:t>
      </w:r>
      <w:r w:rsidRPr="00ED43D2">
        <w:rPr>
          <w:rStyle w:val="apple-converted-space"/>
          <w:color w:val="000000"/>
        </w:rPr>
        <w:t>Why should many or most of the larger grand/white firs be removed</w:t>
      </w:r>
      <w:r>
        <w:rPr>
          <w:rStyle w:val="apple-converted-space"/>
          <w:color w:val="000000"/>
        </w:rPr>
        <w:t xml:space="preserve"> </w:t>
      </w:r>
      <w:r w:rsidRPr="00ED43D2">
        <w:rPr>
          <w:rStyle w:val="apple-converted-space"/>
          <w:color w:val="000000"/>
        </w:rPr>
        <w:t>during restoration treatments? First, they compete aggressively with</w:t>
      </w:r>
      <w:r>
        <w:rPr>
          <w:rStyle w:val="apple-converted-space"/>
          <w:color w:val="000000"/>
        </w:rPr>
        <w:t xml:space="preserve"> </w:t>
      </w:r>
      <w:r w:rsidRPr="00ED43D2">
        <w:rPr>
          <w:rStyle w:val="apple-converted-space"/>
          <w:color w:val="000000"/>
        </w:rPr>
        <w:t>ponderosa pine and other fire- and drought-resistant species and may</w:t>
      </w:r>
      <w:r>
        <w:rPr>
          <w:rStyle w:val="apple-converted-space"/>
          <w:color w:val="000000"/>
        </w:rPr>
        <w:t xml:space="preserve"> </w:t>
      </w:r>
      <w:r w:rsidRPr="00ED43D2">
        <w:rPr>
          <w:rStyle w:val="apple-converted-space"/>
          <w:color w:val="000000"/>
        </w:rPr>
        <w:t>provide significant fuel ladders. Hence, the location of larger grand/white firs relative to pines and larches or even Douglas-fir may be an</w:t>
      </w:r>
      <w:r>
        <w:rPr>
          <w:rStyle w:val="apple-converted-space"/>
          <w:color w:val="000000"/>
        </w:rPr>
        <w:t xml:space="preserve"> </w:t>
      </w:r>
      <w:r w:rsidRPr="00ED43D2">
        <w:rPr>
          <w:rStyle w:val="apple-converted-space"/>
          <w:color w:val="000000"/>
        </w:rPr>
        <w:t>important factor in deciding which ones to retain. Grand/white firs are</w:t>
      </w:r>
      <w:r>
        <w:rPr>
          <w:rStyle w:val="apple-converted-space"/>
          <w:color w:val="000000"/>
        </w:rPr>
        <w:t xml:space="preserve"> </w:t>
      </w:r>
      <w:r w:rsidRPr="00ED43D2">
        <w:rPr>
          <w:rStyle w:val="apple-converted-space"/>
          <w:color w:val="000000"/>
        </w:rPr>
        <w:t xml:space="preserve">also relatively </w:t>
      </w:r>
      <w:r w:rsidRPr="00ED43D2">
        <w:rPr>
          <w:rStyle w:val="apple-converted-space"/>
          <w:color w:val="000000"/>
        </w:rPr>
        <w:lastRenderedPageBreak/>
        <w:t>short-lived and highly susceptible to fires and defoliators;</w:t>
      </w:r>
      <w:r>
        <w:rPr>
          <w:rStyle w:val="apple-converted-space"/>
          <w:color w:val="000000"/>
        </w:rPr>
        <w:t xml:space="preserve"> </w:t>
      </w:r>
      <w:r w:rsidRPr="00ED43D2">
        <w:rPr>
          <w:rStyle w:val="apple-converted-space"/>
          <w:color w:val="000000"/>
        </w:rPr>
        <w:t>they are not likely to make a long-term contribution to the live basal area</w:t>
      </w:r>
      <w:r>
        <w:rPr>
          <w:rStyle w:val="apple-converted-space"/>
          <w:color w:val="000000"/>
        </w:rPr>
        <w:t xml:space="preserve"> </w:t>
      </w:r>
      <w:r w:rsidRPr="00ED43D2">
        <w:rPr>
          <w:rStyle w:val="apple-converted-space"/>
          <w:color w:val="000000"/>
        </w:rPr>
        <w:t>of the stand or to contribute to its resilience. There are many examples</w:t>
      </w:r>
      <w:r>
        <w:rPr>
          <w:rStyle w:val="apple-converted-space"/>
          <w:color w:val="000000"/>
        </w:rPr>
        <w:t xml:space="preserve"> </w:t>
      </w:r>
      <w:r w:rsidRPr="00ED43D2">
        <w:rPr>
          <w:rStyle w:val="apple-converted-space"/>
          <w:color w:val="000000"/>
        </w:rPr>
        <w:t>where larger grand/white firs were retained to maintain the basal area</w:t>
      </w:r>
      <w:r>
        <w:rPr>
          <w:rStyle w:val="apple-converted-space"/>
          <w:color w:val="000000"/>
        </w:rPr>
        <w:t xml:space="preserve"> </w:t>
      </w:r>
      <w:r w:rsidRPr="00ED43D2">
        <w:rPr>
          <w:rStyle w:val="apple-converted-space"/>
          <w:color w:val="000000"/>
        </w:rPr>
        <w:t>of restored stands but died within the next decade. Of course, this is</w:t>
      </w:r>
      <w:r>
        <w:rPr>
          <w:rStyle w:val="apple-converted-space"/>
          <w:color w:val="000000"/>
        </w:rPr>
        <w:t xml:space="preserve"> </w:t>
      </w:r>
      <w:r w:rsidRPr="00ED43D2">
        <w:rPr>
          <w:rStyle w:val="apple-converted-space"/>
          <w:color w:val="000000"/>
        </w:rPr>
        <w:t>fine if an objective is to generate short-lived snags and down logs for</w:t>
      </w:r>
      <w:r>
        <w:rPr>
          <w:rStyle w:val="apple-converted-space"/>
          <w:color w:val="000000"/>
        </w:rPr>
        <w:t xml:space="preserve"> </w:t>
      </w:r>
      <w:r w:rsidRPr="00ED43D2">
        <w:rPr>
          <w:rStyle w:val="apple-converted-space"/>
          <w:color w:val="000000"/>
        </w:rPr>
        <w:t>wildlife. Finally, removal of larger grand/white fir will substantially reduce</w:t>
      </w:r>
      <w:r>
        <w:rPr>
          <w:rStyle w:val="apple-converted-space"/>
          <w:color w:val="000000"/>
        </w:rPr>
        <w:t xml:space="preserve"> </w:t>
      </w:r>
      <w:r w:rsidRPr="00ED43D2">
        <w:rPr>
          <w:rStyle w:val="apple-converted-space"/>
          <w:color w:val="000000"/>
        </w:rPr>
        <w:t>the amount of grand/white fir seed source present on the site and,</w:t>
      </w:r>
      <w:r>
        <w:rPr>
          <w:rStyle w:val="apple-converted-space"/>
          <w:color w:val="000000"/>
        </w:rPr>
        <w:t xml:space="preserve"> </w:t>
      </w:r>
      <w:r w:rsidRPr="00ED43D2">
        <w:rPr>
          <w:rStyle w:val="apple-converted-space"/>
          <w:color w:val="000000"/>
        </w:rPr>
        <w:t>potentially, its abundance in regeneration.</w:t>
      </w:r>
    </w:p>
    <w:p w:rsidR="002F3058" w:rsidRPr="00ED43D2" w:rsidRDefault="002F3058" w:rsidP="002F3058">
      <w:pPr>
        <w:ind w:left="720"/>
        <w:rPr>
          <w:rStyle w:val="apple-converted-space"/>
          <w:color w:val="000000"/>
        </w:rPr>
      </w:pPr>
      <w:r>
        <w:rPr>
          <w:rStyle w:val="apple-converted-space"/>
          <w:color w:val="000000"/>
        </w:rPr>
        <w:t xml:space="preserve">   </w:t>
      </w:r>
      <w:r w:rsidRPr="00321B22">
        <w:rPr>
          <w:rStyle w:val="apple-converted-space"/>
          <w:b/>
          <w:color w:val="000000"/>
        </w:rPr>
        <w:t>So, what are the most appropriate larger grand/white firs to retain in restoration treatments? First, retain any grand/white fir older than approximately</w:t>
      </w:r>
      <w:r>
        <w:rPr>
          <w:rStyle w:val="apple-converted-space"/>
          <w:b/>
          <w:color w:val="000000"/>
        </w:rPr>
        <w:t xml:space="preserve"> </w:t>
      </w:r>
      <w:r w:rsidRPr="00321B22">
        <w:rPr>
          <w:rStyle w:val="apple-converted-space"/>
          <w:b/>
          <w:color w:val="000000"/>
        </w:rPr>
        <w:t>150 years of age</w:t>
      </w:r>
      <w:r w:rsidRPr="00ED43D2">
        <w:rPr>
          <w:rStyle w:val="apple-converted-space"/>
          <w:color w:val="000000"/>
        </w:rPr>
        <w:t>. Guides for visual identification of these</w:t>
      </w:r>
      <w:r>
        <w:rPr>
          <w:rStyle w:val="apple-converted-space"/>
          <w:color w:val="000000"/>
        </w:rPr>
        <w:t xml:space="preserve"> </w:t>
      </w:r>
      <w:r w:rsidRPr="00ED43D2">
        <w:rPr>
          <w:rStyle w:val="apple-converted-space"/>
          <w:color w:val="000000"/>
        </w:rPr>
        <w:t>older trees are under development and initial results are reported above.</w:t>
      </w:r>
      <w:r>
        <w:rPr>
          <w:rStyle w:val="apple-converted-space"/>
          <w:color w:val="000000"/>
        </w:rPr>
        <w:t xml:space="preserve"> </w:t>
      </w:r>
      <w:r w:rsidRPr="00ED43D2">
        <w:rPr>
          <w:rStyle w:val="apple-converted-space"/>
          <w:color w:val="000000"/>
        </w:rPr>
        <w:t>With larger grand/white firs that are less than</w:t>
      </w:r>
      <w:r>
        <w:rPr>
          <w:rStyle w:val="apple-converted-space"/>
          <w:color w:val="000000"/>
        </w:rPr>
        <w:t xml:space="preserve"> </w:t>
      </w:r>
      <w:r w:rsidRPr="00ED43D2">
        <w:rPr>
          <w:rStyle w:val="apple-converted-space"/>
          <w:color w:val="000000"/>
        </w:rPr>
        <w:t xml:space="preserve">150 years of age, </w:t>
      </w:r>
      <w:r w:rsidRPr="00321B22">
        <w:rPr>
          <w:rStyle w:val="apple-converted-space"/>
          <w:b/>
          <w:color w:val="000000"/>
        </w:rPr>
        <w:t>consider retaining individuals that are not threatening older pines or western larches either as fuel ladders or competitors, especially in Moist  mixed-Conifer Stands.</w:t>
      </w:r>
      <w:r w:rsidRPr="00ED43D2">
        <w:rPr>
          <w:rStyle w:val="apple-converted-space"/>
          <w:color w:val="000000"/>
        </w:rPr>
        <w:t xml:space="preserve"> Further, where a choice is between trees with significant</w:t>
      </w:r>
      <w:r>
        <w:rPr>
          <w:rStyle w:val="apple-converted-space"/>
          <w:color w:val="000000"/>
        </w:rPr>
        <w:t xml:space="preserve"> </w:t>
      </w:r>
      <w:r w:rsidRPr="00ED43D2">
        <w:rPr>
          <w:rStyle w:val="apple-converted-space"/>
          <w:color w:val="000000"/>
        </w:rPr>
        <w:t>defects, such as cavities and stem rots, and sound trees of comparable</w:t>
      </w:r>
      <w:r>
        <w:rPr>
          <w:rStyle w:val="apple-converted-space"/>
          <w:color w:val="000000"/>
        </w:rPr>
        <w:t xml:space="preserve"> </w:t>
      </w:r>
      <w:r w:rsidRPr="00ED43D2">
        <w:rPr>
          <w:rStyle w:val="apple-converted-space"/>
          <w:color w:val="000000"/>
        </w:rPr>
        <w:t xml:space="preserve">size, </w:t>
      </w:r>
      <w:r>
        <w:rPr>
          <w:rStyle w:val="apple-converted-space"/>
          <w:color w:val="000000"/>
        </w:rPr>
        <w:t xml:space="preserve"> r</w:t>
      </w:r>
      <w:r w:rsidRPr="00ED43D2">
        <w:rPr>
          <w:rStyle w:val="apple-converted-space"/>
          <w:color w:val="000000"/>
        </w:rPr>
        <w:t>etaining defective trees is generally the better choice ecologically</w:t>
      </w:r>
      <w:r>
        <w:rPr>
          <w:rStyle w:val="apple-converted-space"/>
          <w:color w:val="000000"/>
        </w:rPr>
        <w:t xml:space="preserve"> </w:t>
      </w:r>
      <w:r w:rsidRPr="00ED43D2">
        <w:rPr>
          <w:rStyle w:val="apple-converted-space"/>
          <w:color w:val="000000"/>
        </w:rPr>
        <w:t>and economically. Trees with defects generally will have the greatest</w:t>
      </w:r>
      <w:r>
        <w:rPr>
          <w:rStyle w:val="apple-converted-space"/>
          <w:color w:val="000000"/>
        </w:rPr>
        <w:t xml:space="preserve"> </w:t>
      </w:r>
      <w:r w:rsidRPr="00ED43D2">
        <w:rPr>
          <w:rStyle w:val="apple-converted-space"/>
          <w:color w:val="000000"/>
        </w:rPr>
        <w:t>wildlife value both in the short- and long-term.</w:t>
      </w:r>
    </w:p>
    <w:p w:rsidR="002F3058" w:rsidRPr="003E56C7" w:rsidRDefault="002F3058" w:rsidP="002F3058">
      <w:pPr>
        <w:pStyle w:val="NormalWeb"/>
        <w:spacing w:before="0" w:after="0"/>
        <w:rPr>
          <w:rStyle w:val="Hyperlink"/>
          <w:rFonts w:ascii="Times New Roman" w:hAnsi="Times New Roman" w:cs="Times New Roman"/>
        </w:rPr>
      </w:pPr>
      <w:r w:rsidRPr="003E56C7">
        <w:rPr>
          <w:rFonts w:ascii="Times New Roman" w:hAnsi="Times New Roman" w:cs="Times New Roman"/>
        </w:rPr>
        <w:t xml:space="preserve">Franklin, J.F., Johnson, K.N., et al 2013. Restoration of Dry Forests in Eastern Oregon – A Field Guide. The Nature Conservancy, Portland, OR. 202 pp. </w:t>
      </w:r>
      <w:hyperlink r:id="rId22" w:history="1">
        <w:r w:rsidRPr="003E56C7">
          <w:rPr>
            <w:rStyle w:val="Hyperlink"/>
            <w:rFonts w:ascii="Times New Roman" w:hAnsi="Times New Roman" w:cs="Times New Roman"/>
          </w:rPr>
          <w:t>http://nature.ly/dryforests</w:t>
        </w:r>
      </w:hyperlink>
    </w:p>
    <w:p w:rsidR="0054296B" w:rsidRDefault="0054296B" w:rsidP="0054296B"/>
    <w:p w:rsidR="0054296B" w:rsidRDefault="0054296B" w:rsidP="0054296B">
      <w:pPr>
        <w:pStyle w:val="Heading2"/>
        <w:keepLines w:val="0"/>
        <w:numPr>
          <w:ilvl w:val="1"/>
          <w:numId w:val="0"/>
        </w:numPr>
        <w:tabs>
          <w:tab w:val="num" w:pos="0"/>
        </w:tabs>
        <w:suppressAutoHyphens/>
        <w:spacing w:before="0" w:line="240" w:lineRule="auto"/>
        <w:ind w:left="576" w:hanging="576"/>
      </w:pPr>
      <w:bookmarkStart w:id="8" w:name="_Toc40443486"/>
      <w:bookmarkStart w:id="9" w:name="_Toc53483509"/>
      <w:r w:rsidRPr="00626559">
        <w:t>PREPARE AN EIS TO ADDRESS SIGNIFICANT EFFECTS</w:t>
      </w:r>
      <w:bookmarkEnd w:id="8"/>
      <w:bookmarkEnd w:id="9"/>
    </w:p>
    <w:p w:rsidR="0054296B" w:rsidRPr="00697024" w:rsidRDefault="0054296B" w:rsidP="0054296B">
      <w:r>
        <w:rPr>
          <w:color w:val="000000"/>
          <w:shd w:val="clear" w:color="auto" w:fill="FFFFFF"/>
        </w:rPr>
        <w:t>Pursuant to NEPA, the agency must analyze and disclose the direct, indirect and cumulative environmental effects of the proposed action, which are likely to be significant and require an EIS.</w:t>
      </w:r>
    </w:p>
    <w:p w:rsidR="0054296B" w:rsidRDefault="0054296B" w:rsidP="0054296B"/>
    <w:p w:rsidR="0054296B" w:rsidRDefault="0054296B" w:rsidP="0054296B">
      <w:r>
        <w:t xml:space="preserve">Furthermore, all of the </w:t>
      </w:r>
      <w:r w:rsidR="006647DA">
        <w:t xml:space="preserve">issues and effects described in these comments </w:t>
      </w:r>
      <w:r>
        <w:t xml:space="preserve">provide a strong indication that the effects of this plan amendment (removal of large number of live trees and the ecological functions they provide) are likely to be significant and require an EIS, including potentially significant cumulative effects on: </w:t>
      </w:r>
    </w:p>
    <w:p w:rsidR="0054296B" w:rsidRDefault="0054296B" w:rsidP="0054296B">
      <w:pPr>
        <w:pStyle w:val="ListParagraph"/>
        <w:numPr>
          <w:ilvl w:val="0"/>
          <w:numId w:val="21"/>
        </w:numPr>
      </w:pPr>
      <w:r>
        <w:t xml:space="preserve">carbon storage and climate change and ocean acidification, </w:t>
      </w:r>
    </w:p>
    <w:p w:rsidR="0054296B" w:rsidRDefault="0054296B" w:rsidP="0054296B">
      <w:pPr>
        <w:pStyle w:val="ListParagraph"/>
        <w:numPr>
          <w:ilvl w:val="0"/>
          <w:numId w:val="21"/>
        </w:numPr>
      </w:pPr>
      <w:r>
        <w:t xml:space="preserve">habitat for terrestrial and aquatic species associated with forest canopies, tree bark, </w:t>
      </w:r>
      <w:r w:rsidR="00996983">
        <w:t xml:space="preserve">large </w:t>
      </w:r>
      <w:r>
        <w:t xml:space="preserve">snags, </w:t>
      </w:r>
      <w:r w:rsidR="00996983">
        <w:t xml:space="preserve">large </w:t>
      </w:r>
      <w:r>
        <w:t>down wood, etc. Many of these are Forest Service sensitive species</w:t>
      </w:r>
      <w:r w:rsidR="00996983">
        <w:t xml:space="preserve"> or focal species</w:t>
      </w:r>
      <w:r>
        <w:t>,</w:t>
      </w:r>
    </w:p>
    <w:p w:rsidR="0054296B" w:rsidRDefault="0054296B" w:rsidP="0054296B">
      <w:pPr>
        <w:pStyle w:val="ListParagraph"/>
        <w:numPr>
          <w:ilvl w:val="0"/>
          <w:numId w:val="21"/>
        </w:numPr>
      </w:pPr>
      <w:r>
        <w:t>increased fire hazard caused by increasing slash production and reducing canopy that helps suppress growth of surface and ladder fuels,</w:t>
      </w:r>
    </w:p>
    <w:p w:rsidR="0054296B" w:rsidRDefault="0054296B" w:rsidP="0054296B">
      <w:pPr>
        <w:pStyle w:val="ListParagraph"/>
        <w:numPr>
          <w:ilvl w:val="0"/>
          <w:numId w:val="21"/>
        </w:numPr>
      </w:pPr>
      <w:r>
        <w:t>loss of diverse ecological functions provided by large trees;</w:t>
      </w:r>
    </w:p>
    <w:p w:rsidR="00996983" w:rsidRDefault="0054296B" w:rsidP="0054296B">
      <w:pPr>
        <w:pStyle w:val="ListParagraph"/>
        <w:numPr>
          <w:ilvl w:val="0"/>
          <w:numId w:val="21"/>
        </w:numPr>
      </w:pPr>
      <w:r>
        <w:t>controversial effects and loss of public trust,</w:t>
      </w:r>
    </w:p>
    <w:p w:rsidR="0054296B" w:rsidRDefault="00996983" w:rsidP="0054296B">
      <w:pPr>
        <w:pStyle w:val="ListParagraph"/>
        <w:numPr>
          <w:ilvl w:val="0"/>
          <w:numId w:val="21"/>
        </w:numPr>
      </w:pPr>
      <w:r>
        <w:t>potential violations of PACFISH/INFISH</w:t>
      </w:r>
      <w:r w:rsidR="0054296B">
        <w:t xml:space="preserve"> </w:t>
      </w:r>
      <w:r>
        <w:t>when large trees are removed,</w:t>
      </w:r>
    </w:p>
    <w:p w:rsidR="002F3058" w:rsidRDefault="002F3058" w:rsidP="0054296B">
      <w:pPr>
        <w:pStyle w:val="ListParagraph"/>
        <w:numPr>
          <w:ilvl w:val="0"/>
          <w:numId w:val="21"/>
        </w:numPr>
      </w:pPr>
      <w:r>
        <w:t>continued reliance on outdated-science for new snag standard (e.g. potential population);</w:t>
      </w:r>
    </w:p>
    <w:p w:rsidR="00996983" w:rsidRDefault="00996983" w:rsidP="0054296B">
      <w:pPr>
        <w:pStyle w:val="ListParagraph"/>
        <w:numPr>
          <w:ilvl w:val="0"/>
          <w:numId w:val="21"/>
        </w:numPr>
      </w:pPr>
      <w:r>
        <w:lastRenderedPageBreak/>
        <w:t>it is more difficult to implement restrictions based on tree age or external tree characteristics compared to restrictions based on tree diameter,</w:t>
      </w:r>
    </w:p>
    <w:p w:rsidR="0054296B" w:rsidRDefault="0054296B" w:rsidP="0025001E">
      <w:pPr>
        <w:pStyle w:val="ListParagraph"/>
        <w:numPr>
          <w:ilvl w:val="0"/>
          <w:numId w:val="21"/>
        </w:numPr>
      </w:pPr>
      <w:r>
        <w:t>and other effects</w:t>
      </w:r>
      <w:r w:rsidR="00996983">
        <w:t xml:space="preserve"> addressed in these comments</w:t>
      </w:r>
      <w:r>
        <w:t>.</w:t>
      </w:r>
    </w:p>
    <w:p w:rsidR="0025001E" w:rsidRDefault="0025001E" w:rsidP="0025001E">
      <w:pPr>
        <w:pStyle w:val="Heading2"/>
      </w:pPr>
      <w:bookmarkStart w:id="10" w:name="_Toc53483510"/>
      <w:r>
        <w:t>CLIMATE CHANGE ADAPTATION AND MITIGATION</w:t>
      </w:r>
      <w:bookmarkEnd w:id="10"/>
      <w:r>
        <w:t xml:space="preserve"> </w:t>
      </w:r>
    </w:p>
    <w:p w:rsidR="0025001E" w:rsidRDefault="0025001E" w:rsidP="0025001E">
      <w:r>
        <w:t xml:space="preserve">This relates to both the purpose and need and reasonable alternatives. </w:t>
      </w:r>
    </w:p>
    <w:p w:rsidR="00EE1DAC" w:rsidRDefault="00EE1DAC" w:rsidP="0025001E"/>
    <w:p w:rsidR="0025001E" w:rsidRDefault="0025001E" w:rsidP="0025001E">
      <w:r w:rsidRPr="00A90AB3">
        <w:t xml:space="preserve">The EA (p 9) says the alternatives “address concerns about climate change and wildfire as these alternatives allow for management strategies that increase resilience to future climate …” This is misleading. </w:t>
      </w:r>
      <w:r>
        <w:t xml:space="preserve">Addressing climate change properly in dry forest management requires harmonizing two </w:t>
      </w:r>
      <w:r w:rsidR="006647DA">
        <w:t xml:space="preserve">competing </w:t>
      </w:r>
      <w:r>
        <w:t xml:space="preserve">objectives: climate change adaptation (e.g., reducing competitive stress via density reduction) and climate change mitigation (avoiding carbon emissions and increasing carbon storage). The FS is only embracing half of the equation, which will facilitate logging, while increasing GHG emissions and making climate change worse. This is unconscionable. </w:t>
      </w:r>
    </w:p>
    <w:p w:rsidR="00EE1DAC" w:rsidRDefault="00EE1DAC" w:rsidP="0025001E"/>
    <w:p w:rsidR="0025001E" w:rsidRDefault="0025001E" w:rsidP="0025001E">
      <w:r>
        <w:t xml:space="preserve">The purpose and need must be reconfigured to harmonize climate change adaptation and mitigation. The FS then needs to consider alternatives that accomplish these twin goals. The no action alternative, or a version of it, would </w:t>
      </w:r>
      <w:r w:rsidR="006647DA">
        <w:t xml:space="preserve">likely </w:t>
      </w:r>
      <w:r>
        <w:t xml:space="preserve">do </w:t>
      </w:r>
      <w:r w:rsidR="006647DA">
        <w:t xml:space="preserve">reasonably </w:t>
      </w:r>
      <w:r>
        <w:t>well because it advances climate adaptation by removing small trees, and it avoids carbon emissions by retaining large trees.</w:t>
      </w:r>
    </w:p>
    <w:p w:rsidR="00EE1DAC" w:rsidRDefault="00EE1DAC" w:rsidP="0025001E"/>
    <w:p w:rsidR="0025001E" w:rsidRDefault="0025001E" w:rsidP="0025001E">
      <w:r w:rsidRPr="00A90AB3">
        <w:t>Significant public concerns were raised about climate change and the fact that large tree removal will transfer carbon from the forest to the atmosphere and accelerate global climate change. Alternatives fail to address this concern. The EA fails to harmonize climate adaptation and climate mitigation (carbon storage). The FS fails to address the fact that increased carbon emissions from logging more large trees will exacerbate climate stress and make it harder to maintain resilient stands.</w:t>
      </w:r>
    </w:p>
    <w:p w:rsidR="00EE1DAC" w:rsidRDefault="00EE1DAC" w:rsidP="0025001E"/>
    <w:p w:rsidR="0025001E" w:rsidRDefault="0025001E" w:rsidP="0025001E">
      <w:r>
        <w:t>FS attempts to justify large tree removal based on climate adaptation and landscape resiliency are highly questionable. First, to the extent that fuel reduction does influence fire, it can be substantial accomplished by focusing management on small trees, and second, wildfires are mostly climate driven, not fuel driven. EA (p 79-80) says “</w:t>
      </w:r>
      <w:r w:rsidRPr="00460BE4">
        <w:t>Climate-driven changes in fire regimes would likely be the dominant driver of changes to forests and LOS habitats in the western United States over the next</w:t>
      </w:r>
      <w:r>
        <w:t xml:space="preserve"> century.” See also, </w:t>
      </w:r>
      <w:proofErr w:type="spellStart"/>
      <w:r>
        <w:t>Schoennagel</w:t>
      </w:r>
      <w:proofErr w:type="spellEnd"/>
      <w:r>
        <w:t xml:space="preserve"> et al 2017. Adapt to more wildfire in western North American forests as climate changes. </w:t>
      </w:r>
      <w:r w:rsidRPr="000B1A25">
        <w:t xml:space="preserve">PNAS </w:t>
      </w:r>
      <w:r>
        <w:t>2017</w:t>
      </w:r>
      <w:r w:rsidRPr="000B1A25">
        <w:t>; published ahead of print April 17, 2017</w:t>
      </w:r>
      <w:r>
        <w:t xml:space="preserve">. </w:t>
      </w:r>
      <w:hyperlink r:id="rId23" w:history="1">
        <w:r w:rsidRPr="00522DD0">
          <w:rPr>
            <w:rStyle w:val="Hyperlink"/>
          </w:rPr>
          <w:t>www.pnas.org/cgi/doi/10.1073/pnas.1617464114</w:t>
        </w:r>
      </w:hyperlink>
      <w:r>
        <w:t xml:space="preserve">; </w:t>
      </w:r>
      <w:r w:rsidRPr="0002375F">
        <w:t xml:space="preserve"> </w:t>
      </w:r>
      <w:hyperlink r:id="rId24" w:history="1">
        <w:r w:rsidRPr="00522DD0">
          <w:rPr>
            <w:rStyle w:val="Hyperlink"/>
          </w:rPr>
          <w:t>https://headwaterseconomics.org/wp-content/uploads/Adapt_To_More_Wildfire.pdf</w:t>
        </w:r>
      </w:hyperlink>
      <w:r>
        <w:t xml:space="preserve"> (“… [T]he effectiveness of this [fuel reduction] approach at broad scales is limited. Mechanical fuels treatments on US federal lands over the last 15 y (2001–2015) totaled almost 7 million ha (Forests and Rangelands, https://www.forestsandrangelands.gov/), but the annual area burned has continued to set records. Regionally, the area treated has little relationship to trends in the area burned, which is influenced primarily by patterns of drought and warming. Forested areas </w:t>
      </w:r>
      <w:r>
        <w:lastRenderedPageBreak/>
        <w:t>considerably exceed the area treated, so it is relatively rare that treatments encounter wildfire. … [R]</w:t>
      </w:r>
      <w:proofErr w:type="spellStart"/>
      <w:r>
        <w:t>oughly</w:t>
      </w:r>
      <w:proofErr w:type="spellEnd"/>
      <w:r>
        <w:t xml:space="preserve"> 1% of US Forest Service forest treatments experience wildfire each year, on average. The effectiveness of forest treatments lasts about 10–20 y, suggesting that most treatments have little influence on wildfire. … [T]he prospects for forest fuels treatments to promote adaptive resilience to wildfire at broad scales, by regionally reducing trends in area burned or burn severity, are fairly limited.”).</w:t>
      </w:r>
    </w:p>
    <w:p w:rsidR="00EE1DAC" w:rsidRDefault="00EE1DAC" w:rsidP="0025001E">
      <w:pPr>
        <w:pStyle w:val="Default"/>
      </w:pPr>
    </w:p>
    <w:p w:rsidR="0025001E" w:rsidRDefault="0025001E" w:rsidP="0025001E">
      <w:pPr>
        <w:pStyle w:val="Default"/>
      </w:pPr>
      <w:r>
        <w:t xml:space="preserve">The NFMA </w:t>
      </w:r>
      <w:proofErr w:type="spellStart"/>
      <w:r>
        <w:t>regs</w:t>
      </w:r>
      <w:proofErr w:type="spellEnd"/>
      <w:r>
        <w:t xml:space="preserve"> reflect a concern for both climate change adaptation and climate change mitigation. </w:t>
      </w:r>
    </w:p>
    <w:p w:rsidR="0025001E" w:rsidRDefault="0025001E" w:rsidP="0025001E">
      <w:pPr>
        <w:pStyle w:val="Default"/>
      </w:pPr>
    </w:p>
    <w:p w:rsidR="0025001E" w:rsidRDefault="0025001E" w:rsidP="0025001E">
      <w:pPr>
        <w:pStyle w:val="Default"/>
      </w:pPr>
      <w:r>
        <w:t>See also “NFMA Requirements” and “Reasonable Alternatives”</w:t>
      </w:r>
    </w:p>
    <w:p w:rsidR="0025001E" w:rsidRDefault="0025001E" w:rsidP="0025001E">
      <w:pPr>
        <w:pStyle w:val="Default"/>
      </w:pPr>
    </w:p>
    <w:p w:rsidR="0025001E" w:rsidRDefault="0025001E" w:rsidP="0025001E">
      <w:pPr>
        <w:pStyle w:val="Heading2"/>
      </w:pPr>
      <w:bookmarkStart w:id="11" w:name="_Toc53483511"/>
      <w:r w:rsidRPr="00A90AB3">
        <w:t>NO ACTION</w:t>
      </w:r>
      <w:bookmarkEnd w:id="11"/>
    </w:p>
    <w:p w:rsidR="006647DA" w:rsidRDefault="0025001E" w:rsidP="0025001E">
      <w:r>
        <w:t xml:space="preserve">The EA analysis of the no action alternative fails to recognize that the FS has the authority under the existing screens to make adjustments that will advance the purpose and need. Two adjustments in particular deserve to be highlighted. </w:t>
      </w:r>
    </w:p>
    <w:p w:rsidR="006647DA" w:rsidRDefault="0025001E" w:rsidP="006647DA">
      <w:pPr>
        <w:pStyle w:val="ListParagraph"/>
        <w:numPr>
          <w:ilvl w:val="0"/>
          <w:numId w:val="41"/>
        </w:numPr>
      </w:pPr>
      <w:r>
        <w:t xml:space="preserve">First, the FS can retain old trees that are smaller than 21” dbh. With some encouragement from </w:t>
      </w:r>
      <w:r w:rsidR="00E17639">
        <w:t xml:space="preserve">scientists and </w:t>
      </w:r>
      <w:r>
        <w:t xml:space="preserve">conservationists, the FS uses that authority in some projects. This adjustment will mitigate the loss of old trees that the FS expresses so much concern about. The FS can do this without amending the screens. </w:t>
      </w:r>
    </w:p>
    <w:p w:rsidR="006647DA" w:rsidRDefault="0025001E" w:rsidP="006647DA">
      <w:pPr>
        <w:pStyle w:val="ListParagraph"/>
        <w:numPr>
          <w:ilvl w:val="0"/>
          <w:numId w:val="41"/>
        </w:numPr>
      </w:pPr>
      <w:r>
        <w:t xml:space="preserve">Second, the FS can kill and retain large, young shade-tolerant trees that are in direct competition with legacy pine and larch. The will allow the FS to reduce competitive stress, increase resilience, prolong the life of old legacy trees, and recruit valuable large snags and down wood, all without amending the screens. </w:t>
      </w:r>
    </w:p>
    <w:p w:rsidR="0025001E" w:rsidRDefault="00E17639" w:rsidP="006647DA">
      <w:r>
        <w:t>This was suggested as a NEPA alternative in Oregon Wild’s May 15, 2020 letter to the Forest Service. (“</w:t>
      </w:r>
      <w:r w:rsidRPr="00E17639">
        <w:t xml:space="preserve">The Forest Service should consider several alternatives: </w:t>
      </w:r>
      <w:r>
        <w:t xml:space="preserve"> … </w:t>
      </w:r>
      <w:r w:rsidRPr="00E17639">
        <w:t>Girdle and/or fall and leave large trees, in the rare instance where large, young shade-tolerant trees in direct competition with well-defined shade-intolerant legacy trees. This will meet additional important restoration goals related to large snag habitat and down wood habitat;</w:t>
      </w:r>
      <w:r>
        <w:t xml:space="preserve">”). </w:t>
      </w:r>
      <w:r w:rsidR="0025001E">
        <w:t>The effects of the no action alternative need to be reanalyzed in light the erroneous assumption that many old trees &lt;21” dbh would be removed,  and many large young shade-tolerant trees would persist under the no action alternative. The EA needs to reanalyze effects on old trees in light of the of the discretion present within the FS’ existing authorities.</w:t>
      </w:r>
    </w:p>
    <w:p w:rsidR="00EE1DAC" w:rsidRDefault="00EE1DAC" w:rsidP="0025001E"/>
    <w:p w:rsidR="0025001E" w:rsidRDefault="0025001E" w:rsidP="0025001E">
      <w:r>
        <w:t xml:space="preserve">The analysis of the no action/current management alternative needs to highlight the fact that managing small trees allows the Forest Service to substantially achieve its management goals with fewer trade-offs, while removing large trees adds very little to the accomplishment of goals AND comes with significant trade-offs, such as carbon emissions, wildlife impacts, snag habitat loss, loss of public trust, and social conflict. </w:t>
      </w:r>
    </w:p>
    <w:p w:rsidR="00EE1DAC" w:rsidRDefault="00EE1DAC" w:rsidP="0025001E"/>
    <w:p w:rsidR="0025001E" w:rsidRDefault="0025001E" w:rsidP="0025001E">
      <w:r>
        <w:lastRenderedPageBreak/>
        <w:t>The analysis of the no action alternative must account for the beneficial role of natural mortality. The draft EA (p 23) explicitly assumes “Disturbances in eastern Oregon landscapes help maintain ecosystem function and promote small and large-scale change in vegetation and processes.” EA (p 28) says that natural mortality is favor desired shade-intolerant tree species (“</w:t>
      </w:r>
      <w:r w:rsidRPr="00400009">
        <w:t xml:space="preserve">the mortality rate of ponderosa pine over the last 10 years was 6%, </w:t>
      </w:r>
      <w:r>
        <w:t>…</w:t>
      </w:r>
      <w:r w:rsidRPr="00400009">
        <w:t xml:space="preserve">. Grand fir and white </w:t>
      </w:r>
      <w:r>
        <w:t>fir had a mortality rate of 11%..</w:t>
      </w:r>
      <w:r w:rsidRPr="00400009">
        <w:t>.</w:t>
      </w:r>
      <w:r>
        <w:t>”).  Natural mortality in the forest reduces tree competition, increases tree vigor and stand resilience, helps shift species composition, and helps mitigate the shortage of large snags, yet the EA still offers an unflattering description of the no action alternative. This is inaccurate and misleading. A forest without mortality and snags is not a healthy, resilient forest.</w:t>
      </w:r>
    </w:p>
    <w:p w:rsidR="00EE1DAC" w:rsidRDefault="00EE1DAC" w:rsidP="0025001E"/>
    <w:p w:rsidR="0025001E" w:rsidRPr="006647DA" w:rsidRDefault="0025001E" w:rsidP="0025001E">
      <w:r>
        <w:t xml:space="preserve">The NFMA planning </w:t>
      </w:r>
      <w:proofErr w:type="spellStart"/>
      <w:r>
        <w:t>regs</w:t>
      </w:r>
      <w:proofErr w:type="spellEnd"/>
      <w:r>
        <w:t>, 36 CFR 219.5(a)(3) requires the Forest Service to inform the planning process by continuously monitoring and “measuring management effectiveness.” Relevant science finds that the Forest Service management goals can be largely met by managing small trees. Does the Forest Service have compelling monitoring data to show that managing small trees is not effective? EA Figures 7, 8, and 9 (pp 30-31) show that restoration efforts under the no action alternative are working and LOS forests are increasing under the Eastside Screens. EA (p 32) says “</w:t>
      </w:r>
      <w:r>
        <w:rPr>
          <w:sz w:val="23"/>
          <w:szCs w:val="23"/>
        </w:rPr>
        <w:t>The increased amount of open LOS forest in both the dry and moist forest groups is an indicator that we are moving toward eastside screen goals.”</w:t>
      </w:r>
      <w:r w:rsidR="006647DA">
        <w:rPr>
          <w:sz w:val="23"/>
          <w:szCs w:val="23"/>
        </w:rPr>
        <w:t xml:space="preserve"> </w:t>
      </w:r>
      <w:r w:rsidR="006647DA">
        <w:t>EA (p 36) says “…</w:t>
      </w:r>
      <w:r w:rsidR="006647DA" w:rsidRPr="00BD62CF">
        <w:t>the current trend of increasing LOS forest will continue for all alternatives.</w:t>
      </w:r>
      <w:r w:rsidR="006647DA">
        <w:t xml:space="preserve"> … </w:t>
      </w:r>
      <w:r w:rsidR="006647DA" w:rsidRPr="00BD62CF">
        <w:t xml:space="preserve">Closed canopies will continue to increase because tree growth and regeneration will outpace thinning effects from both wildfire and management. </w:t>
      </w:r>
      <w:r w:rsidR="006647DA" w:rsidRPr="00BB4F15">
        <w:rPr>
          <w:u w:val="single"/>
        </w:rPr>
        <w:t>Future treatments would need to increase the removal of small and mid-sized trees from closed canopy forests in order to change this trajectory</w:t>
      </w:r>
      <w:r w:rsidR="006647DA">
        <w:t xml:space="preserve">.” (emphasis added). EA (pp 26-27) says “harvest levels </w:t>
      </w:r>
      <w:r w:rsidR="006647DA" w:rsidRPr="00DB3E48">
        <w:rPr>
          <w:sz w:val="23"/>
          <w:szCs w:val="23"/>
        </w:rPr>
        <w:t>are more influenced by factors including road systems, logging systems, capacity, budget and individual forest plan direction.</w:t>
      </w:r>
      <w:r w:rsidR="006647DA">
        <w:rPr>
          <w:sz w:val="23"/>
          <w:szCs w:val="23"/>
        </w:rPr>
        <w:t>” The objective truth is that the 21” diameter limit in the Eastside Screens is NOT an impediment to meeting the Forest Service’s management objectives.</w:t>
      </w:r>
      <w:r w:rsidR="006647DA">
        <w:t xml:space="preserve"> </w:t>
      </w:r>
    </w:p>
    <w:p w:rsidR="00EE1DAC" w:rsidRDefault="00EE1DAC" w:rsidP="0025001E">
      <w:pPr>
        <w:rPr>
          <w:sz w:val="23"/>
          <w:szCs w:val="23"/>
        </w:rPr>
      </w:pPr>
    </w:p>
    <w:p w:rsidR="0025001E" w:rsidRDefault="0025001E" w:rsidP="0025001E">
      <w:pPr>
        <w:rPr>
          <w:sz w:val="23"/>
          <w:szCs w:val="23"/>
        </w:rPr>
      </w:pPr>
      <w:r>
        <w:rPr>
          <w:sz w:val="23"/>
          <w:szCs w:val="23"/>
        </w:rPr>
        <w:t xml:space="preserve">The EA analysis of the no action alternative needs to take a hard look at the agency’s ability to meet its objectives by managing trees less than 21” dbh. </w:t>
      </w:r>
      <w:proofErr w:type="spellStart"/>
      <w:r>
        <w:rPr>
          <w:sz w:val="23"/>
          <w:szCs w:val="23"/>
        </w:rPr>
        <w:t>Rainville</w:t>
      </w:r>
      <w:proofErr w:type="spellEnd"/>
      <w:r>
        <w:rPr>
          <w:sz w:val="23"/>
          <w:szCs w:val="23"/>
        </w:rPr>
        <w:t xml:space="preserve"> et al (2008) found that there is a vast need for density reduction in eastside forests, but that it is predominantly in forests with small trees. </w:t>
      </w:r>
    </w:p>
    <w:p w:rsidR="0025001E" w:rsidRDefault="0025001E" w:rsidP="0025001E">
      <w:pPr>
        <w:ind w:left="720"/>
        <w:rPr>
          <w:sz w:val="23"/>
          <w:szCs w:val="23"/>
        </w:rPr>
      </w:pPr>
      <w:r>
        <w:t xml:space="preserve">[W]e found that on lands where active forestry is allowable, thinning of most densely stocked stands would not be economically viable. … In the 46 percent of the three Blue Mountains national forests that is forested, thinning with timber removal is an unlikely treatment method. This does not mean that other vegetative management options (prescribed fire, wildland fire use, or thinning without commercial timber removal) could not be used to reduce fire hazard, but it is doubtful that these areas would produce much commercial timber. …  Commercial thinning would only be possible where the value of the timber harvested exceeds the cost of the harvesting, hauling, road maintenance, and contractual requirements (i.e., a positive net revenue exists). Because most simulated </w:t>
      </w:r>
      <w:proofErr w:type="spellStart"/>
      <w:r>
        <w:t>thinnings</w:t>
      </w:r>
      <w:proofErr w:type="spellEnd"/>
      <w:r>
        <w:t xml:space="preserve"> harvested low volumes of small trees, commercial removal was possible on </w:t>
      </w:r>
      <w:r>
        <w:lastRenderedPageBreak/>
        <w:t>only 39,900 (± 4,600) acres, or less than 10 percent of the densely stocked acres (table 4-8). … … even when considered under the most favorable of assumptions, most densely stocked stands would not be treatable without significant investments.”</w:t>
      </w:r>
    </w:p>
    <w:p w:rsidR="0025001E" w:rsidRDefault="0025001E" w:rsidP="0025001E">
      <w:proofErr w:type="spellStart"/>
      <w:r w:rsidRPr="000358CB">
        <w:t>Rainville</w:t>
      </w:r>
      <w:proofErr w:type="spellEnd"/>
      <w:r w:rsidRPr="000358CB">
        <w:t xml:space="preserve">, Robert; White, Rachel; Barbour, Jamie, tech. eds. 2008. Assessment of timber availability from forest restoration within the Blue Mountains of Oregon. Gen. Tech. Rep. PNW-GTR-752. Portland, OR: U.S. Department of Agriculture, Forest Service, Pacific Northwest Research Station. 65 p. </w:t>
      </w:r>
      <w:hyperlink r:id="rId25" w:history="1">
        <w:r w:rsidRPr="000358CB">
          <w:rPr>
            <w:rStyle w:val="Hyperlink"/>
          </w:rPr>
          <w:t>http://www.fs.fed.us/pnw/pubs/pnw_gtr752.pdf</w:t>
        </w:r>
      </w:hyperlink>
      <w:r>
        <w:t>.</w:t>
      </w:r>
      <w:r w:rsidRPr="000358CB">
        <w:t xml:space="preserve"> </w:t>
      </w:r>
      <w:r>
        <w:t xml:space="preserve">See also, </w:t>
      </w:r>
      <w:proofErr w:type="spellStart"/>
      <w:r>
        <w:t>Schoennagel</w:t>
      </w:r>
      <w:proofErr w:type="spellEnd"/>
      <w:r>
        <w:t xml:space="preserve"> et al 2017. Adapt to more wildfire in western North American forests as climate changes. </w:t>
      </w:r>
      <w:r w:rsidRPr="000B1A25">
        <w:t xml:space="preserve">PNAS </w:t>
      </w:r>
      <w:r>
        <w:t>2017</w:t>
      </w:r>
      <w:r w:rsidRPr="000B1A25">
        <w:t>; published ahead of print April 17, 2017</w:t>
      </w:r>
      <w:r>
        <w:t xml:space="preserve">. </w:t>
      </w:r>
      <w:hyperlink r:id="rId26" w:history="1">
        <w:r w:rsidRPr="00522DD0">
          <w:rPr>
            <w:rStyle w:val="Hyperlink"/>
          </w:rPr>
          <w:t>www.pnas.org/cgi/doi/10.1073/pnas.1617464114</w:t>
        </w:r>
      </w:hyperlink>
      <w:r>
        <w:t xml:space="preserve">; </w:t>
      </w:r>
      <w:r w:rsidRPr="0002375F">
        <w:t xml:space="preserve"> </w:t>
      </w:r>
      <w:hyperlink r:id="rId27" w:history="1">
        <w:r w:rsidRPr="00522DD0">
          <w:rPr>
            <w:rStyle w:val="Hyperlink"/>
          </w:rPr>
          <w:t>https://headwaterseconomics.org/wp-content/uploads/Adapt_To_More_Wildfire.pdf</w:t>
        </w:r>
      </w:hyperlink>
      <w:r>
        <w:t xml:space="preserve"> (“Mechanical fuels treatments on US federal lands over the last 15 y (2001–2015) totaled almost 7 million ha (Forests and Rangelands, https://www.forestsandrangelands.gov/), but the annual area burned has continued to set records. Regionally, the area treated has little relationship to trends in the area burned, which is influenced primarily by patterns of drought and warming. Forested areas considerably exceed the area treated, so it is relatively rare that treatments encounter wildfire. … [R]</w:t>
      </w:r>
      <w:proofErr w:type="spellStart"/>
      <w:r>
        <w:t>oughly</w:t>
      </w:r>
      <w:proofErr w:type="spellEnd"/>
      <w:r>
        <w:t xml:space="preserve"> 1% of US Forest Service forest treatments experience wildfire each year, on average. The effectiveness of forest treatments lasts about 10–20 y, suggesting that most treatments have little influence on wildfire. … [T]he prospects for forest fuels treatments to promote adaptive resilience to wildfire at broad scales, by regionally reducing trends in area burned or burn severity, are fairly limited.”).</w:t>
      </w:r>
    </w:p>
    <w:p w:rsidR="00EE1DAC" w:rsidRDefault="00EE1DAC" w:rsidP="0025001E"/>
    <w:p w:rsidR="0025001E" w:rsidRDefault="0025001E" w:rsidP="0025001E">
      <w:r>
        <w:t>The EA (p 33) also admits there are tens of millions of trees just under the 21” dbh limit, management of which is not inhibited by the existing screens:</w:t>
      </w:r>
    </w:p>
    <w:p w:rsidR="0025001E" w:rsidRDefault="0025001E" w:rsidP="0025001E">
      <w:pPr>
        <w:ind w:left="720"/>
      </w:pPr>
      <w:r w:rsidRPr="009A18CB">
        <w:t xml:space="preserve">There are an estimated 41.7 million trees larger than 20.9 inches throughout the eastern Oregon landscape, which is an average of about 6 trees per acre within the analysis area. This population of large trees is comprised mostly of ponderosa pine (48%), grand fir/white fir (23%), and Douglas-fir (15%). </w:t>
      </w:r>
      <w:r w:rsidRPr="00F1312B">
        <w:rPr>
          <w:u w:val="single"/>
        </w:rPr>
        <w:t>There are about 43.5 million trees in the next smaller size class (17-20.9") with similar relative proportion of species</w:t>
      </w:r>
      <w:r w:rsidRPr="009A18CB">
        <w:t>.</w:t>
      </w:r>
    </w:p>
    <w:p w:rsidR="00EE1DAC" w:rsidRDefault="0025001E" w:rsidP="0025001E">
      <w:r>
        <w:t xml:space="preserve">(emphasis added). This indicates that there is </w:t>
      </w:r>
      <w:r w:rsidR="006647DA">
        <w:t xml:space="preserve">a lot of </w:t>
      </w:r>
      <w:r>
        <w:t xml:space="preserve">work </w:t>
      </w:r>
      <w:r w:rsidR="006647DA">
        <w:t xml:space="preserve">that can be </w:t>
      </w:r>
      <w:r>
        <w:t xml:space="preserve">done </w:t>
      </w:r>
      <w:r w:rsidR="006647DA">
        <w:t xml:space="preserve">to advance </w:t>
      </w:r>
      <w:r>
        <w:t xml:space="preserve">management objectives </w:t>
      </w:r>
      <w:r w:rsidR="006647DA">
        <w:t xml:space="preserve">while </w:t>
      </w:r>
      <w:r>
        <w:t>working within the existing limitations of the Eastside Screens. The analysis of the no action alternative needs to accurately disclose this.</w:t>
      </w:r>
    </w:p>
    <w:p w:rsidR="006647DA" w:rsidRDefault="006647DA" w:rsidP="0025001E"/>
    <w:p w:rsidR="006647DA" w:rsidRDefault="006647DA" w:rsidP="0025001E">
      <w:r w:rsidRPr="00A90AB3">
        <w:t>The EA says the existing standard “has been applied as written across Forests and through time.” This is misleading because there is a very strong public desire (and ecological rationale) to ret</w:t>
      </w:r>
      <w:r>
        <w:t>ain large trees in all settings. C</w:t>
      </w:r>
      <w:r w:rsidRPr="00A90AB3">
        <w:t xml:space="preserve">onsequently, the FS has </w:t>
      </w:r>
      <w:r>
        <w:t xml:space="preserve">frequently </w:t>
      </w:r>
      <w:r w:rsidRPr="00A90AB3">
        <w:t xml:space="preserve">applied the </w:t>
      </w:r>
      <w:r>
        <w:t xml:space="preserve">Eastside Screens </w:t>
      </w:r>
      <w:r w:rsidRPr="00A90AB3">
        <w:t xml:space="preserve">to protect large trees both </w:t>
      </w:r>
      <w:r w:rsidRPr="00A90AB3">
        <w:rPr>
          <w:i/>
        </w:rPr>
        <w:t>inside</w:t>
      </w:r>
      <w:r w:rsidRPr="00A90AB3">
        <w:t xml:space="preserve"> and </w:t>
      </w:r>
      <w:r w:rsidRPr="00A90AB3">
        <w:rPr>
          <w:i/>
        </w:rPr>
        <w:t>outside</w:t>
      </w:r>
      <w:r w:rsidRPr="00A90AB3">
        <w:t xml:space="preserve"> LOS forests, and in landscapes that are both </w:t>
      </w:r>
      <w:r w:rsidRPr="00A90AB3">
        <w:rPr>
          <w:i/>
        </w:rPr>
        <w:t>above</w:t>
      </w:r>
      <w:r w:rsidRPr="00A90AB3">
        <w:t xml:space="preserve"> and </w:t>
      </w:r>
      <w:r w:rsidRPr="00A90AB3">
        <w:rPr>
          <w:i/>
        </w:rPr>
        <w:t>below</w:t>
      </w:r>
      <w:r w:rsidRPr="00A90AB3">
        <w:t xml:space="preserve"> HRV. The FS should describe and analyze the existing standard as</w:t>
      </w:r>
      <w:r>
        <w:t xml:space="preserve"> applied, instead of as written. EA (p 27) says the FS assumes that the Screens will be applied as written, rather than as applied (“</w:t>
      </w:r>
      <w:r>
        <w:rPr>
          <w:sz w:val="23"/>
          <w:szCs w:val="23"/>
        </w:rPr>
        <w:t xml:space="preserve">Under all action alternatives, we assume that subpart 1 of Scenario A is not interpreted as having a 21-inch dbh tree harvest prohibition as long as the intent of the ecosystem standard and Scenario A wildlife standard are met including not net loss of LOS from respective biophysical </w:t>
      </w:r>
      <w:r>
        <w:rPr>
          <w:sz w:val="23"/>
          <w:szCs w:val="23"/>
        </w:rPr>
        <w:lastRenderedPageBreak/>
        <w:t>environments</w:t>
      </w:r>
      <w:r>
        <w:t>”). In other words, allowing removal of large trees when LOS is above HRV. This is not a fair and accurate description of current management. Applying the Screens this way will lead to conflict, controversy and significant loss of large tree structure that must be disclose in the NEPA analysis.</w:t>
      </w:r>
    </w:p>
    <w:p w:rsidR="0025001E" w:rsidRDefault="0025001E" w:rsidP="0025001E">
      <w:pPr>
        <w:pStyle w:val="Heading2"/>
      </w:pPr>
      <w:bookmarkStart w:id="12" w:name="_Toc53483512"/>
      <w:r>
        <w:t>PROPOSED ACTION</w:t>
      </w:r>
      <w:bookmarkEnd w:id="12"/>
    </w:p>
    <w:p w:rsidR="0025001E" w:rsidRDefault="0025001E" w:rsidP="0025001E">
      <w:r>
        <w:t xml:space="preserve">The proposed action fails to meet the purpose and need or the original intent of the screens, because: </w:t>
      </w:r>
    </w:p>
    <w:p w:rsidR="0025001E" w:rsidRDefault="0025001E" w:rsidP="0025001E">
      <w:pPr>
        <w:pStyle w:val="ListParagraph"/>
        <w:numPr>
          <w:ilvl w:val="0"/>
          <w:numId w:val="4"/>
        </w:numPr>
        <w:spacing w:after="200"/>
      </w:pPr>
      <w:r>
        <w:t xml:space="preserve">The proposed action alternative </w:t>
      </w:r>
      <w:r w:rsidRPr="00D67397">
        <w:t>allows removal of large trees that serve as surrogates f</w:t>
      </w:r>
      <w:r>
        <w:t>or old tree</w:t>
      </w:r>
      <w:r w:rsidR="006647DA">
        <w:t xml:space="preserve"> function</w:t>
      </w:r>
      <w:r>
        <w:t>s that remain scarce. Large shade-tolerant trees up to 30” dbh can be removed without any ecological justification;</w:t>
      </w:r>
    </w:p>
    <w:p w:rsidR="0025001E" w:rsidRDefault="0025001E" w:rsidP="0025001E">
      <w:pPr>
        <w:pStyle w:val="ListParagraph"/>
        <w:numPr>
          <w:ilvl w:val="0"/>
          <w:numId w:val="4"/>
        </w:numPr>
        <w:spacing w:after="200"/>
      </w:pPr>
      <w:r>
        <w:t>The proposed action alternative adds dangerous levels of administrative discretion to large tree conservation. Managers are under pressure to get the cut out and will make choices that sacrifice ecological goals in order to meet economic goals;</w:t>
      </w:r>
    </w:p>
    <w:p w:rsidR="0025001E" w:rsidRDefault="0025001E" w:rsidP="0025001E">
      <w:pPr>
        <w:pStyle w:val="ListParagraph"/>
        <w:numPr>
          <w:ilvl w:val="0"/>
          <w:numId w:val="4"/>
        </w:numPr>
        <w:spacing w:after="200"/>
      </w:pPr>
      <w:r>
        <w:t>The amended snag and green tree standard is a radical departure from the original intent of the wildlife screens</w:t>
      </w:r>
      <w:r w:rsidR="006647DA">
        <w:t>. It gives up on the goal of maximum populations of cavity excavators, and protects fewer snags and green trees when new science says wildlife need more snags and green trees</w:t>
      </w:r>
      <w:r>
        <w:t>;</w:t>
      </w:r>
    </w:p>
    <w:p w:rsidR="0025001E" w:rsidRDefault="0025001E" w:rsidP="0025001E">
      <w:r>
        <w:t>The draft EA says that tree age would be determine using best available science. This would be tree coring, but tree coring is very resource intensive and could harm the very trees we are trying to save. That is why the authors of the Screens chose to use diameter as a surrogate for age. Unlike tree age, tree diameter can be quickly and easily determined without harming the tree, AND tree diameter is also a good way to ensure that ecologically valuable large trees are retained regardless of age.</w:t>
      </w:r>
    </w:p>
    <w:p w:rsidR="00EE1DAC" w:rsidRDefault="00EE1DAC" w:rsidP="0025001E"/>
    <w:p w:rsidR="0025001E" w:rsidRDefault="0025001E" w:rsidP="0025001E">
      <w:r>
        <w:t xml:space="preserve">The proposed action emphasizes retention of old trees and increased removal of large trees less than 150 years old. Table 3 (EA p 34) suggests that more than 2/3 of large trees in the planning area are in stands less than 150 years old. This suggests that this plan amendment is putting a surprisingly large subset of large trees at risk of logging. The EA needs to accurately describe the magnitude of this risk. </w:t>
      </w:r>
    </w:p>
    <w:p w:rsidR="0025001E" w:rsidRDefault="0025001E" w:rsidP="006647DA">
      <w:pPr>
        <w:ind w:left="720"/>
      </w:pPr>
      <w:r>
        <w:rPr>
          <w:noProof/>
        </w:rPr>
        <w:drawing>
          <wp:inline distT="0" distB="0" distL="0" distR="0" wp14:anchorId="3A3DE3D6" wp14:editId="735A6666">
            <wp:extent cx="5056909" cy="14149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5071332" cy="1418998"/>
                    </a:xfrm>
                    <a:prstGeom prst="rect">
                      <a:avLst/>
                    </a:prstGeom>
                  </pic:spPr>
                </pic:pic>
              </a:graphicData>
            </a:graphic>
          </wp:inline>
        </w:drawing>
      </w:r>
    </w:p>
    <w:p w:rsidR="0025001E" w:rsidRDefault="0025001E" w:rsidP="0025001E">
      <w:r>
        <w:t>Are these stands &lt;150 years, nonetheless LOS, because they have a lot of large tree structure? How many of these stands are LOS versus non-LOS? Provide a histogram of acres and number of large trees/acre.</w:t>
      </w:r>
    </w:p>
    <w:p w:rsidR="0025001E" w:rsidRDefault="0025001E" w:rsidP="0025001E">
      <w:pPr>
        <w:pStyle w:val="Heading2"/>
      </w:pPr>
      <w:bookmarkStart w:id="13" w:name="_Toc53483514"/>
      <w:r>
        <w:lastRenderedPageBreak/>
        <w:t>ESTIMATING TREE AGE UNDER PROPOSED ACTION</w:t>
      </w:r>
      <w:bookmarkEnd w:id="13"/>
    </w:p>
    <w:p w:rsidR="0025001E" w:rsidRDefault="0025001E" w:rsidP="0025001E">
      <w:r>
        <w:t>Estimating tree age based on external tree characteristics other than diameter raises several concerns:</w:t>
      </w:r>
    </w:p>
    <w:p w:rsidR="0025001E" w:rsidRDefault="0025001E" w:rsidP="0025001E">
      <w:pPr>
        <w:pStyle w:val="ListParagraph"/>
        <w:numPr>
          <w:ilvl w:val="0"/>
          <w:numId w:val="5"/>
        </w:numPr>
        <w:spacing w:after="200"/>
      </w:pPr>
      <w:r>
        <w:t>Evaluating external characteristics tends to be subjective which creates a public trust problem;</w:t>
      </w:r>
    </w:p>
    <w:p w:rsidR="0025001E" w:rsidRDefault="0025001E" w:rsidP="0025001E">
      <w:pPr>
        <w:pStyle w:val="ListParagraph"/>
        <w:numPr>
          <w:ilvl w:val="0"/>
          <w:numId w:val="5"/>
        </w:numPr>
        <w:spacing w:after="200"/>
      </w:pPr>
      <w:r>
        <w:t xml:space="preserve">Some tree species, especially grand fir/white fir which are a particular focus of this amendment, cannot be readily aged using external characteristics. This creates a significant risk that 21-30” dbh white fir/grand fir that are in fact </w:t>
      </w:r>
      <w:r w:rsidRPr="00D465FF">
        <w:rPr>
          <w:i/>
        </w:rPr>
        <w:t>old</w:t>
      </w:r>
      <w:r>
        <w:t xml:space="preserve"> will</w:t>
      </w:r>
      <w:r w:rsidR="00314E23">
        <w:t xml:space="preserve"> be falsely identified as young</w:t>
      </w:r>
      <w:r>
        <w:t>;</w:t>
      </w:r>
    </w:p>
    <w:p w:rsidR="0025001E" w:rsidRDefault="0025001E" w:rsidP="0025001E">
      <w:pPr>
        <w:pStyle w:val="ListParagraph"/>
        <w:numPr>
          <w:ilvl w:val="0"/>
          <w:numId w:val="5"/>
        </w:numPr>
        <w:spacing w:after="200"/>
      </w:pPr>
      <w:r>
        <w:t>External characteristics might be somewhat useful to identify and protect old pines that are smaller than 21” dbh, but they are not useful to identify young white fir that are larger than 21” dbh.</w:t>
      </w:r>
      <w:r w:rsidR="00683296">
        <w:t xml:space="preserve"> This reinforces the fact that the FS can do the right thing by protecting old trees regardless of size without amending the screens.</w:t>
      </w:r>
    </w:p>
    <w:p w:rsidR="0025001E" w:rsidRPr="00980904" w:rsidRDefault="0025001E" w:rsidP="0025001E">
      <w:r>
        <w:t>All these concerns are also present for the Proposed Action and the Old Tree Standard Alternative.</w:t>
      </w:r>
      <w:r w:rsidR="00314E23">
        <w:t xml:space="preserve"> The NEPA analysis needs to carefully consider these issues.</w:t>
      </w:r>
    </w:p>
    <w:p w:rsidR="0025001E" w:rsidRDefault="0025001E" w:rsidP="0025001E">
      <w:pPr>
        <w:pStyle w:val="Heading2"/>
      </w:pPr>
      <w:bookmarkStart w:id="14" w:name="_Toc53483515"/>
      <w:r>
        <w:t>ADAPTIVE MANAGEMENT UNDER PROPOSED ACTION</w:t>
      </w:r>
      <w:bookmarkEnd w:id="14"/>
    </w:p>
    <w:p w:rsidR="0025001E" w:rsidRDefault="0025001E" w:rsidP="0025001E">
      <w:r>
        <w:t>The adaptive management approach described in the draft EA is senseless and ineffective. Comparing managed and unmanaged stands makes no sense. The question is not whether removal of large trees is more effective than no management. No management is a straw man. During timber sale planning, the relevant question is what kind of management will be most effective at conserving LOS, retaining large trees (&gt;21” dh) or removing large trees (21-30” dbh). The adaptive management questions need to focus on that question.</w:t>
      </w:r>
    </w:p>
    <w:p w:rsidR="00EE1DAC" w:rsidRDefault="00EE1DAC" w:rsidP="0025001E"/>
    <w:p w:rsidR="0025001E" w:rsidRDefault="0025001E" w:rsidP="0025001E">
      <w:r>
        <w:t xml:space="preserve">The adaptive management approach described in the draft EA also has a nonsensical </w:t>
      </w:r>
      <w:proofErr w:type="spellStart"/>
      <w:r>
        <w:t>fall-back</w:t>
      </w:r>
      <w:proofErr w:type="spellEnd"/>
      <w:r>
        <w:t xml:space="preserve"> position. If monitoring indicates that passive management is better at conserving LOS forests, then the FS says it will still allow removal of shade-tolerant trees 21-30” dbh but with a standard instead of a guideline. This makes no sense. It basically says if monitoring shows that A is better than B, then don’t adopt A, adopt a minor tweak to B. Logic would dictate passive management, but again the monitoring question is wrong in the first place. </w:t>
      </w:r>
    </w:p>
    <w:p w:rsidR="00EE1DAC" w:rsidRDefault="00EE1DAC" w:rsidP="0025001E"/>
    <w:p w:rsidR="0025001E" w:rsidRDefault="0025001E" w:rsidP="0025001E">
      <w:r>
        <w:t>The preferred adaptive management approach would be to evaluate whether the original wildlife screens are more effective at conserving LOS forests (AND wildlife associated with LOS and snags) compared to the new standard that allows large tree removal. If so, the FS should go back to the original screens (or adapting implementation of the Screens to do a better job, such as by retaining old trees regardless of size and creating snags from some large young trees that are in direct competition with legacy trees.)</w:t>
      </w:r>
    </w:p>
    <w:p w:rsidR="00EE1DAC" w:rsidRDefault="00EE1DAC" w:rsidP="0025001E"/>
    <w:p w:rsidR="0025001E" w:rsidRDefault="0025001E" w:rsidP="0025001E">
      <w:r>
        <w:t xml:space="preserve">The adaptive management strategy also needs to recognize that natural mortality from insects, disease, competition is normal and a desired feature of LOS forests. Adaptive management must </w:t>
      </w:r>
      <w:r>
        <w:lastRenderedPageBreak/>
        <w:t xml:space="preserve">not treat natural mortality as a negative but a positive, unless it’s </w:t>
      </w:r>
      <w:r w:rsidRPr="00F469CB">
        <w:rPr>
          <w:i/>
        </w:rPr>
        <w:t>uncharacteristic</w:t>
      </w:r>
      <w:r>
        <w:t>, and periodic pulses of abundant mortality are also perfectly natural. Monitoring must also account for large tree logging mortality as forgone snag habitat.</w:t>
      </w:r>
    </w:p>
    <w:p w:rsidR="00EE1DAC" w:rsidRDefault="00EE1DAC" w:rsidP="0025001E"/>
    <w:p w:rsidR="0025001E" w:rsidRDefault="0025001E" w:rsidP="0025001E">
      <w:r>
        <w:t xml:space="preserve">The FS is using adaptive management to inform future decisions whether to adjust management of large trees. This is the role of monitoring. The NFMA planning </w:t>
      </w:r>
      <w:proofErr w:type="spellStart"/>
      <w:r>
        <w:t>regs</w:t>
      </w:r>
      <w:proofErr w:type="spellEnd"/>
      <w:r>
        <w:t xml:space="preserve"> require the responsible official to develop a monitoring program and </w:t>
      </w:r>
    </w:p>
    <w:p w:rsidR="0025001E" w:rsidRDefault="0025001E" w:rsidP="0025001E">
      <w:pPr>
        <w:ind w:left="720"/>
      </w:pPr>
      <w:r>
        <w:t xml:space="preserve">“Monitoring information should enable the responsible official to determine if a change in plan components or other plan content that guide management of resources on the plan area may be needed … . Monitoring questions and associated indicators must be designed to inform the management of resources on the plan area, including by testing relevant assumptions, tracking relevant changes, and measuring management effectiveness and progress toward achieving or maintaining the plan’s desired conditions or objectives.” </w:t>
      </w:r>
    </w:p>
    <w:p w:rsidR="0025001E" w:rsidRDefault="00347CB8" w:rsidP="0025001E">
      <w:hyperlink r:id="rId29" w:history="1">
        <w:r w:rsidR="0025001E" w:rsidRPr="00546C7A">
          <w:rPr>
            <w:rStyle w:val="Hyperlink"/>
          </w:rPr>
          <w:t>36 CFR 219.12(a)</w:t>
        </w:r>
      </w:hyperlink>
      <w:r w:rsidR="0025001E">
        <w:t>. In this case, the adaptive management approach described in the EA is so poorly conceived that is simply fails provide relevant information to inform future plan amendments.</w:t>
      </w:r>
    </w:p>
    <w:p w:rsidR="0025001E" w:rsidRDefault="0025001E" w:rsidP="0025001E"/>
    <w:p w:rsidR="0025001E" w:rsidRDefault="0025001E" w:rsidP="0025001E">
      <w:r>
        <w:t xml:space="preserve">The 2012 NFMA </w:t>
      </w:r>
      <w:proofErr w:type="spellStart"/>
      <w:r>
        <w:t>regs</w:t>
      </w:r>
      <w:proofErr w:type="spellEnd"/>
      <w:r>
        <w:t xml:space="preserve"> also require the FS to monitor the status of focal species. 36 CFR 219.12(a)5). This is highly relevant to old growth species and snag associated species, but is not included in the plan amendment. The Responsible Officials are required to develop and adopt monitoring programs within 4 years of the adoption of the 2012 NFMA </w:t>
      </w:r>
      <w:proofErr w:type="spellStart"/>
      <w:r>
        <w:t>regs</w:t>
      </w:r>
      <w:proofErr w:type="spellEnd"/>
      <w:r>
        <w:t>. 36 CFR 21912(c).</w:t>
      </w:r>
    </w:p>
    <w:p w:rsidR="0025001E" w:rsidRDefault="0025001E" w:rsidP="0025001E">
      <w:r w:rsidRPr="00A90AB3">
        <w:t>The EA (p 9) says that adaptive management was designed to instill trust</w:t>
      </w:r>
      <w:r>
        <w:t xml:space="preserve">, which it </w:t>
      </w:r>
      <w:r w:rsidRPr="00A90AB3">
        <w:t xml:space="preserve">fails to do. The adaptive management approach fails to ask the right questions, and, if monitoring shows change is needed, the adaptive management in the proposed action fails to revert to an </w:t>
      </w:r>
      <w:r>
        <w:t xml:space="preserve">effective </w:t>
      </w:r>
      <w:r w:rsidRPr="00A90AB3">
        <w:t xml:space="preserve">approach to large tree conservation </w:t>
      </w:r>
      <w:r>
        <w:t>indicated by the monitoring data</w:t>
      </w:r>
      <w:r w:rsidRPr="00A90AB3">
        <w:t xml:space="preserve">. </w:t>
      </w:r>
    </w:p>
    <w:p w:rsidR="00EE1DAC" w:rsidRDefault="00EE1DAC" w:rsidP="0025001E"/>
    <w:p w:rsidR="0025001E" w:rsidRDefault="0025001E" w:rsidP="0025001E">
      <w:r>
        <w:t>All these concerns are present for the Proposed Action and the Adaptive Management Alternative.</w:t>
      </w:r>
    </w:p>
    <w:p w:rsidR="0025001E" w:rsidRDefault="0025001E" w:rsidP="0025001E">
      <w:pPr>
        <w:pStyle w:val="Heading2"/>
      </w:pPr>
      <w:bookmarkStart w:id="15" w:name="_Toc53483516"/>
      <w:r>
        <w:t>NFMA REQUIREMENTS – WILDLIFE AND CARBON</w:t>
      </w:r>
      <w:bookmarkEnd w:id="15"/>
    </w:p>
    <w:p w:rsidR="0025001E" w:rsidRDefault="0025001E" w:rsidP="0025001E">
      <w:r>
        <w:t xml:space="preserve">This plan amendment will cause a significant and long-lasting adverse impact to habitat for cavity excavators, some of which are species of conservation concern. The FS must therefore develop plan components (and NEPA alternatives) to ensure provision of sufficient habitat to maintain viable populations, and take a hard look at the effects in the NEPA document. </w:t>
      </w:r>
    </w:p>
    <w:p w:rsidR="00EE1DAC" w:rsidRDefault="00EE1DAC" w:rsidP="0025001E"/>
    <w:p w:rsidR="0025001E" w:rsidRDefault="0025001E" w:rsidP="0025001E">
      <w:r>
        <w:t xml:space="preserve">Unfortunately, the EA does not even disclose the applicable species of conservation concern in the planning area, let alone consider plan components, NEPA alternatives, and relevant environmental effects of the proposed plan amendment. </w:t>
      </w:r>
    </w:p>
    <w:p w:rsidR="00EE1DAC" w:rsidRDefault="00EE1DAC" w:rsidP="0025001E"/>
    <w:p w:rsidR="0025001E" w:rsidRDefault="0025001E" w:rsidP="0025001E">
      <w:r w:rsidRPr="00A90AB3">
        <w:t xml:space="preserve">EA </w:t>
      </w:r>
      <w:r>
        <w:t>(</w:t>
      </w:r>
      <w:r w:rsidRPr="00A90AB3">
        <w:t>p 7</w:t>
      </w:r>
      <w:r>
        <w:t xml:space="preserve">) says the </w:t>
      </w:r>
      <w:r w:rsidRPr="00A90AB3">
        <w:t xml:space="preserve">purpose and need </w:t>
      </w:r>
      <w:r>
        <w:t xml:space="preserve">is </w:t>
      </w:r>
      <w:r w:rsidRPr="00A90AB3">
        <w:t>to “adapt stands to future climate and disturbance regimes</w:t>
      </w:r>
      <w:r>
        <w:t>…</w:t>
      </w:r>
      <w:r w:rsidRPr="00A90AB3">
        <w:t xml:space="preserve">” This ignores that removing large trees will make climate change worse, and </w:t>
      </w:r>
      <w:r>
        <w:t xml:space="preserve">it fails to </w:t>
      </w:r>
      <w:r>
        <w:lastRenderedPageBreak/>
        <w:t xml:space="preserve">recognize that the more fundamental </w:t>
      </w:r>
      <w:r w:rsidRPr="00A90AB3">
        <w:t xml:space="preserve">need is to harmonize two competing </w:t>
      </w:r>
      <w:r>
        <w:t xml:space="preserve">climate-change–related </w:t>
      </w:r>
      <w:r w:rsidRPr="00A90AB3">
        <w:t xml:space="preserve">goals, climate adaptation and climate mitigation (carbon storage). </w:t>
      </w:r>
      <w:r>
        <w:t xml:space="preserve"> The NFMA </w:t>
      </w:r>
      <w:proofErr w:type="spellStart"/>
      <w:r>
        <w:t>regs</w:t>
      </w:r>
      <w:proofErr w:type="spellEnd"/>
      <w:r>
        <w:t xml:space="preserve"> reflect a concern for both climate change adaptation and climate change mitigation.</w:t>
      </w:r>
    </w:p>
    <w:p w:rsidR="0025001E" w:rsidRDefault="0025001E" w:rsidP="0025001E"/>
    <w:p w:rsidR="0025001E" w:rsidRPr="00A90AB3" w:rsidRDefault="0025001E" w:rsidP="0025001E">
      <w:r w:rsidRPr="00A90AB3">
        <w:t xml:space="preserve">NFMA requires that the purpose and need include </w:t>
      </w:r>
      <w:r>
        <w:t xml:space="preserve">providing </w:t>
      </w:r>
      <w:r w:rsidRPr="00A90AB3">
        <w:t>carbon storage</w:t>
      </w:r>
      <w:r>
        <w:t xml:space="preserve"> as an ecosystem service</w:t>
      </w:r>
      <w:r w:rsidRPr="00A90AB3">
        <w:t xml:space="preserve">. The </w:t>
      </w:r>
      <w:r w:rsidRPr="00AB7B9F">
        <w:rPr>
          <w:i/>
        </w:rPr>
        <w:t>Multiple Use</w:t>
      </w:r>
      <w:r w:rsidRPr="00A90AB3">
        <w:t xml:space="preserve"> requirements of the 2012 NFMA planning regulations provide: </w:t>
      </w:r>
    </w:p>
    <w:p w:rsidR="0025001E" w:rsidRPr="00A90AB3" w:rsidRDefault="0025001E" w:rsidP="0025001E">
      <w:pPr>
        <w:ind w:left="720"/>
      </w:pPr>
      <w:r>
        <w:t xml:space="preserve">… </w:t>
      </w:r>
      <w:r w:rsidRPr="00A90AB3">
        <w:t>the plan must provide for ecosystem services and multiple uses. … The plan must include plan components, including standards or guidelines, for integrated resource</w:t>
      </w:r>
    </w:p>
    <w:p w:rsidR="0025001E" w:rsidRPr="00A90AB3" w:rsidRDefault="0025001E" w:rsidP="0025001E">
      <w:pPr>
        <w:ind w:left="720"/>
      </w:pPr>
      <w:r w:rsidRPr="00A90AB3">
        <w:t xml:space="preserve">management to provide for ecosystem services and multiple uses in the plan area. </w:t>
      </w:r>
    </w:p>
    <w:p w:rsidR="0025001E" w:rsidRPr="00A90AB3" w:rsidRDefault="00347CB8" w:rsidP="0025001E">
      <w:pPr>
        <w:rPr>
          <w:color w:val="000000"/>
        </w:rPr>
      </w:pPr>
      <w:hyperlink r:id="rId30" w:history="1">
        <w:r w:rsidR="0025001E" w:rsidRPr="00A90AB3">
          <w:rPr>
            <w:rStyle w:val="Hyperlink"/>
          </w:rPr>
          <w:t>36 CFR 219.10</w:t>
        </w:r>
      </w:hyperlink>
      <w:r w:rsidR="0025001E" w:rsidRPr="00A90AB3">
        <w:t xml:space="preserve">. </w:t>
      </w:r>
      <w:r w:rsidR="0025001E" w:rsidRPr="00C663B7">
        <w:t>The definition of “</w:t>
      </w:r>
      <w:r w:rsidR="0025001E" w:rsidRPr="00A90AB3">
        <w:t>ecosystem</w:t>
      </w:r>
      <w:r w:rsidR="0025001E" w:rsidRPr="00C663B7">
        <w:t> services” includes “long term storage of </w:t>
      </w:r>
      <w:r w:rsidR="0025001E" w:rsidRPr="00A90AB3">
        <w:t>carbon</w:t>
      </w:r>
      <w:r w:rsidR="0025001E" w:rsidRPr="00C663B7">
        <w:t>”.</w:t>
      </w:r>
      <w:r w:rsidR="0025001E" w:rsidRPr="00A90AB3">
        <w:t xml:space="preserve"> </w:t>
      </w:r>
      <w:r w:rsidR="0025001E" w:rsidRPr="00C663B7">
        <w:t>36 CFR §</w:t>
      </w:r>
      <w:r w:rsidR="0025001E" w:rsidRPr="00A90AB3">
        <w:t xml:space="preserve"> 219.19. In essence, the NFMA regulations have put carbon storage on an equal footing with other multiple uses </w:t>
      </w:r>
      <w:r w:rsidR="0025001E">
        <w:t xml:space="preserve">(such as timber, water, wildlife, range, and recreation) </w:t>
      </w:r>
      <w:r w:rsidR="0025001E" w:rsidRPr="00A90AB3">
        <w:t>that must be provided during forest planning.</w:t>
      </w:r>
      <w:r w:rsidR="0025001E" w:rsidRPr="00C663B7">
        <w:t> </w:t>
      </w:r>
      <w:r w:rsidR="0025001E" w:rsidRPr="00A90AB3">
        <w:rPr>
          <w:color w:val="000000"/>
        </w:rPr>
        <w:t>The NFMA regulations also require “</w:t>
      </w:r>
      <w:r w:rsidR="0025001E" w:rsidRPr="00AB7B9F">
        <w:t>Social and Economic</w:t>
      </w:r>
      <w:r w:rsidR="0025001E" w:rsidRPr="00C663B7">
        <w:rPr>
          <w:i/>
        </w:rPr>
        <w:t xml:space="preserve"> </w:t>
      </w:r>
      <w:r w:rsidR="0025001E" w:rsidRPr="00AB7B9F">
        <w:t>S</w:t>
      </w:r>
      <w:r w:rsidR="0025001E" w:rsidRPr="00AB7B9F">
        <w:rPr>
          <w:color w:val="000000"/>
        </w:rPr>
        <w:t>ustainability</w:t>
      </w:r>
      <w:r w:rsidR="0025001E" w:rsidRPr="00A90AB3">
        <w:rPr>
          <w:color w:val="000000"/>
        </w:rPr>
        <w:t>” that requires ecosystem services like carbon storage be taken into account:</w:t>
      </w:r>
    </w:p>
    <w:p w:rsidR="0025001E" w:rsidRPr="00C663B7" w:rsidRDefault="0025001E" w:rsidP="0025001E">
      <w:pPr>
        <w:ind w:left="720"/>
      </w:pPr>
      <w:r w:rsidRPr="00A90AB3">
        <w:rPr>
          <w:i/>
        </w:rPr>
        <w:t>S</w:t>
      </w:r>
      <w:r w:rsidRPr="00C663B7">
        <w:rPr>
          <w:i/>
        </w:rPr>
        <w:t xml:space="preserve">ocial and </w:t>
      </w:r>
      <w:r w:rsidRPr="00A90AB3">
        <w:rPr>
          <w:i/>
        </w:rPr>
        <w:t>E</w:t>
      </w:r>
      <w:r w:rsidRPr="00C663B7">
        <w:rPr>
          <w:i/>
        </w:rPr>
        <w:t xml:space="preserve">conomic </w:t>
      </w:r>
      <w:r w:rsidRPr="00A90AB3">
        <w:rPr>
          <w:i/>
        </w:rPr>
        <w:t>S</w:t>
      </w:r>
      <w:r w:rsidRPr="00C663B7">
        <w:rPr>
          <w:i/>
        </w:rPr>
        <w:t>ustainability</w:t>
      </w:r>
      <w:r w:rsidRPr="00A90AB3">
        <w:t xml:space="preserve"> - </w:t>
      </w:r>
      <w:r w:rsidRPr="00C663B7">
        <w:t>The plan must include plan components, including standards or guidelines, to guide the plan area’s contribution to social and economic sustainability, taking into account: </w:t>
      </w:r>
      <w:r w:rsidRPr="00A90AB3">
        <w:t>... </w:t>
      </w:r>
      <w:r w:rsidRPr="00C663B7">
        <w:t>(4) </w:t>
      </w:r>
      <w:r w:rsidRPr="00A90AB3">
        <w:t>Ecosystem</w:t>
      </w:r>
      <w:r w:rsidRPr="00C663B7">
        <w:t> services;   </w:t>
      </w:r>
      <w:r w:rsidRPr="00A90AB3">
        <w:t>...</w:t>
      </w:r>
    </w:p>
    <w:p w:rsidR="0025001E" w:rsidRDefault="0025001E" w:rsidP="0025001E">
      <w:r w:rsidRPr="00A90AB3">
        <w:t xml:space="preserve">36 CFR 219.8. </w:t>
      </w:r>
      <w:r>
        <w:t>Maintaining and increasing carbon storage</w:t>
      </w:r>
      <w:r w:rsidRPr="00A90AB3">
        <w:t xml:space="preserve"> is </w:t>
      </w:r>
      <w:r>
        <w:t xml:space="preserve">a </w:t>
      </w:r>
      <w:r w:rsidRPr="00A90AB3">
        <w:t>critically important part of social and economic sustainability because</w:t>
      </w:r>
      <w:r>
        <w:t>: (</w:t>
      </w:r>
      <w:proofErr w:type="spellStart"/>
      <w:r>
        <w:t>i</w:t>
      </w:r>
      <w:proofErr w:type="spellEnd"/>
      <w:r>
        <w:t xml:space="preserve">) large trees store a disproportionate amount of carbon, (ii) removing large tree will cause significant GHG emissions, (iii) </w:t>
      </w:r>
      <w:r w:rsidRPr="00A90AB3">
        <w:t>the social cost of carbon dioxide emissions from logging vastly exceeds the value of wood products from large trees.</w:t>
      </w:r>
      <w:r>
        <w:t xml:space="preserve"> See for instance, </w:t>
      </w:r>
      <w:proofErr w:type="spellStart"/>
      <w:r>
        <w:t>Niemi</w:t>
      </w:r>
      <w:proofErr w:type="spellEnd"/>
      <w:r>
        <w:t xml:space="preserve">, E. 2015. Accounting for Climate-Related Risks In Federal Forest-Management Decision, 10 May 2015 [draft]. Federal Forest Carbon Coalition Background Paper 2015–2. </w:t>
      </w:r>
      <w:hyperlink r:id="rId31" w:history="1">
        <w:r w:rsidRPr="00CB1F69">
          <w:rPr>
            <w:rStyle w:val="Hyperlink"/>
          </w:rPr>
          <w:t>http://static1.1.sqspcdn.com/static/f/551504/26259333/1432605642583/SocialCostsOfCarbonOClandsNiemiMay2015.pdf?token=wDqoa5RkP8EoBLlsRWIPPRuahzg%3D</w:t>
        </w:r>
      </w:hyperlink>
      <w:r>
        <w:t>; and (iv) the competing goals of climate adaptation and climate mitigation can be harmonized by managing small trees and retaining large trees.</w:t>
      </w:r>
    </w:p>
    <w:p w:rsidR="0025001E" w:rsidRDefault="0025001E" w:rsidP="0025001E">
      <w:pPr>
        <w:pStyle w:val="Heading2"/>
      </w:pPr>
      <w:bookmarkStart w:id="16" w:name="_Toc53483517"/>
      <w:r>
        <w:t>ANALYSIS METHODS</w:t>
      </w:r>
      <w:bookmarkEnd w:id="16"/>
    </w:p>
    <w:p w:rsidR="0025001E" w:rsidRDefault="0025001E" w:rsidP="0025001E">
      <w:r>
        <w:t xml:space="preserve">The FS is using flawed methods of analysis. For instance, the EA (p 16) uses a “25 year analysis window” to disclose effects of the proposed amendment, but this is not nearly long enough to capture the significant long-term adverse effect of removing large trees on the recruitment of snags over time. This effect will last over 100 years (because that’s how long it takes to grow a large tree to replace those being cut). See Heiken, D. Thinking About Dead Wood in Managed Landscapes. 2012. </w:t>
      </w:r>
      <w:hyperlink r:id="rId32" w:history="1">
        <w:r w:rsidRPr="00041242">
          <w:rPr>
            <w:rStyle w:val="Hyperlink"/>
          </w:rPr>
          <w:t>https://www.dropbox.com/s/5gofctjdglx5t3t/dead%20wood%20slides%202012.pdf</w:t>
        </w:r>
      </w:hyperlink>
      <w:r>
        <w:t>. The public and the decision-maker need to be informed of this significant long-term adverse effect. Using a short analysis window effectively shields some significant effects from disclosure. This is not allowed under NEPA.</w:t>
      </w:r>
    </w:p>
    <w:p w:rsidR="00EE1DAC" w:rsidRDefault="00EE1DAC" w:rsidP="0025001E"/>
    <w:p w:rsidR="0025001E" w:rsidRDefault="0025001E" w:rsidP="0025001E">
      <w:r>
        <w:lastRenderedPageBreak/>
        <w:t xml:space="preserve">For instance, the snag analysis for the </w:t>
      </w:r>
      <w:hyperlink r:id="rId33" w:history="1">
        <w:r w:rsidRPr="00AF1BEE">
          <w:rPr>
            <w:rStyle w:val="Hyperlink"/>
          </w:rPr>
          <w:t>East Hills Project</w:t>
        </w:r>
      </w:hyperlink>
      <w:r>
        <w:t xml:space="preserve"> on the Fremont-Winema NF showed that logging large trees across 79,000 acres would </w:t>
      </w:r>
      <w:r w:rsidR="004B4699">
        <w:t xml:space="preserve">significantly </w:t>
      </w:r>
      <w:r>
        <w:t>reduce hard snag levels for more than 80 years.</w:t>
      </w:r>
      <w:r w:rsidR="006874A9">
        <w:t xml:space="preserve"> Using a 25 year analysis window hides significant long-term effects on snag habitat.</w:t>
      </w:r>
    </w:p>
    <w:p w:rsidR="0025001E" w:rsidRDefault="0025001E" w:rsidP="0025001E">
      <w:pPr>
        <w:pStyle w:val="Heading2"/>
      </w:pPr>
      <w:bookmarkStart w:id="17" w:name="_Toc53483518"/>
      <w:r w:rsidRPr="00241FCD">
        <w:t>INDICATORS AND MEASURES</w:t>
      </w:r>
      <w:bookmarkEnd w:id="17"/>
    </w:p>
    <w:p w:rsidR="0025001E" w:rsidRDefault="0025001E" w:rsidP="0025001E">
      <w:r>
        <w:t xml:space="preserve">The EA (p 16) says it will use </w:t>
      </w:r>
      <w:r w:rsidRPr="00F17DDE">
        <w:rPr>
          <w:i/>
        </w:rPr>
        <w:t>species composition</w:t>
      </w:r>
      <w:r>
        <w:t xml:space="preserve"> and </w:t>
      </w:r>
      <w:r w:rsidRPr="00F17DDE">
        <w:rPr>
          <w:i/>
        </w:rPr>
        <w:t>old tree</w:t>
      </w:r>
      <w:r>
        <w:rPr>
          <w:i/>
        </w:rPr>
        <w:t>s</w:t>
      </w:r>
      <w:r>
        <w:t xml:space="preserve"> as indicators for analysis. EA (p 17) says in analyzing </w:t>
      </w:r>
      <w:r>
        <w:rPr>
          <w:i/>
        </w:rPr>
        <w:t xml:space="preserve">forest </w:t>
      </w:r>
      <w:r w:rsidRPr="00FF3C16">
        <w:rPr>
          <w:i/>
        </w:rPr>
        <w:t>structure</w:t>
      </w:r>
      <w:r>
        <w:t xml:space="preserve"> “</w:t>
      </w:r>
      <w:r w:rsidRPr="006D5BE7">
        <w:t>we assess old and large trees separately</w:t>
      </w:r>
      <w:r>
        <w:t>.” This conflicts with the assertion that this plan amendment retains the original goals of the Eastside Screens and the Eastside Screens explicit statement that structural stages are independent of stand age or species composition. Table 1 in the 1995 Eastside Screens defined forest structural stages used to determine LOS and HRV and it explicitly states that “</w:t>
      </w:r>
      <w:r w:rsidRPr="00200BE2">
        <w:t>Structural stage is not necessarily associated with stand age or to seral (species composition) development</w:t>
      </w:r>
      <w:r>
        <w:t xml:space="preserve">.” </w:t>
      </w:r>
      <w:r w:rsidRPr="00A90AB3">
        <w:t xml:space="preserve">If the goal of the Screens remains the same, then both old trees AND functional surrogates </w:t>
      </w:r>
      <w:r>
        <w:t xml:space="preserve">(regardless of age or species) </w:t>
      </w:r>
      <w:r w:rsidRPr="00A90AB3">
        <w:t>need to be conserved. Removing large trees is in direct contradiction to that goal.</w:t>
      </w:r>
    </w:p>
    <w:p w:rsidR="00EE1DAC" w:rsidRDefault="00EE1DAC" w:rsidP="0025001E"/>
    <w:p w:rsidR="0025001E" w:rsidRDefault="0025001E" w:rsidP="0025001E">
      <w:r>
        <w:t>Table 17 (EA p 80) says that “trends in the availability of large trees and large snags” are key indicators for LOS associated wildlife.</w:t>
      </w:r>
      <w:r w:rsidR="003D0C27">
        <w:t xml:space="preserve"> Since, the action alternatives all result in fewer large trees, the analysis needs to clearly reflect the </w:t>
      </w:r>
      <w:r w:rsidR="00643B5A">
        <w:t xml:space="preserve">long-term </w:t>
      </w:r>
      <w:r w:rsidR="003D0C27">
        <w:t>adverse effects on LOS wildlife.</w:t>
      </w:r>
    </w:p>
    <w:p w:rsidR="00EE1DAC" w:rsidRDefault="00EE1DAC" w:rsidP="0025001E"/>
    <w:p w:rsidR="0025001E" w:rsidRDefault="0025001E" w:rsidP="0025001E">
      <w:r>
        <w:t>The analysis of species composition needs to clearly distinguish between trees less than 21” dbh, 21-30” dbh and &gt;30” dbh. The EA says basal are of shade-tolerant species is increasing, but if most of those trees are &lt;21” dbh, then this amendment is not necessary, and the analysis should not credit the proposed action with helping to remove trees &lt;21” dbh.</w:t>
      </w:r>
    </w:p>
    <w:p w:rsidR="00EE1DAC" w:rsidRDefault="00EE1DAC" w:rsidP="0025001E"/>
    <w:p w:rsidR="0025001E" w:rsidRDefault="0025001E" w:rsidP="0025001E">
      <w:r>
        <w:t xml:space="preserve">The EA says that it uses </w:t>
      </w:r>
      <w:r w:rsidRPr="00F17DDE">
        <w:rPr>
          <w:i/>
        </w:rPr>
        <w:t>forest structure</w:t>
      </w:r>
      <w:r>
        <w:t xml:space="preserve"> as described in the Eastside Screens as an indicator for analysis in this EA. This raises some questions.</w:t>
      </w:r>
    </w:p>
    <w:p w:rsidR="00EE1DAC" w:rsidRDefault="00EE1DAC" w:rsidP="0025001E"/>
    <w:p w:rsidR="00EE1DAC" w:rsidRDefault="0025001E" w:rsidP="00EE1DAC">
      <w:r>
        <w:t>The NEPA analysis needs to carefully describe what effect the redefinition of “large tree” has on the identification of LOS forest and determination of deviations from HRV. Implementation of the Eastside Screens requires identification of LOS forest and determination whether LOS forest is above or below the historic range of variability (HRV). The Eastside Screens define LOS as “</w:t>
      </w:r>
      <w:r w:rsidRPr="00BD4DB0">
        <w:t>structural stages where large trees are common</w:t>
      </w:r>
      <w:r>
        <w:t>.” If large trees are defined as 20 or 21” dbh, then more LOS will be identified. If the definition of large tree is changed to 30” dbh for grand fir, white fir, and Douglas fir, it could dramatically affect the identification of LOS and the determination of whether stands are above or below HRV. How has this been accounted for in the NEPA analysis? The FS needs to be completely transparent here.</w:t>
      </w:r>
    </w:p>
    <w:p w:rsidR="00EE1DAC" w:rsidRDefault="00EE1DAC" w:rsidP="00EE1DAC"/>
    <w:p w:rsidR="00EE1DAC" w:rsidRDefault="0025001E" w:rsidP="00EE1DAC">
      <w:r>
        <w:t xml:space="preserve">EA (p 16) says “HRV analyses will continue to occur at the forest or project level as part of the Eastside Screens ecosystem standard, which we do not address or propose to change with this analysis.” This raises several issues. This implies that the definition of large trees remains 21” dbh, which further implies that logging trees 21-30” dbh grand fir, white fir, and Douglas fir </w:t>
      </w:r>
      <w:r>
        <w:lastRenderedPageBreak/>
        <w:t>trees will remove LOS components in violation of the intent of the screens and in conflict with the stated goal of this amendment. It also means that logging that reduces the number of large trees will significantly delay attainment of LOS objectives in stands where trees 21-30” dbh are removed. The 1995 Eastside Screens wildlife Standard says “</w:t>
      </w:r>
      <w:r w:rsidRPr="00200BE2">
        <w:t>L</w:t>
      </w:r>
      <w:r>
        <w:t>OS</w:t>
      </w:r>
      <w:r w:rsidRPr="00200BE2">
        <w:t xml:space="preserve"> </w:t>
      </w:r>
      <w:r>
        <w:t xml:space="preserve">… </w:t>
      </w:r>
      <w:r w:rsidRPr="00200BE2">
        <w:t>refers to the structural stages</w:t>
      </w:r>
      <w:r>
        <w:t xml:space="preserve"> where large trees are common. … [and] Outside of LOS … </w:t>
      </w:r>
      <w:r w:rsidRPr="00200BE2">
        <w:rPr>
          <w:color w:val="000000"/>
        </w:rPr>
        <w:t>maintain and/or enhance LOS compon</w:t>
      </w:r>
      <w:r>
        <w:t>ents.” If this amendment does not change the definition of large tree used to determine whether the landscape has departed from HRV,  and if the amendment then allows removal of those large trees, then it is clearly not consistent with the intent of the Screens.</w:t>
      </w:r>
    </w:p>
    <w:p w:rsidR="00EE1DAC" w:rsidRDefault="00EE1DAC" w:rsidP="00EE1DAC"/>
    <w:p w:rsidR="0025001E" w:rsidRDefault="0025001E" w:rsidP="00EE1DAC">
      <w:r>
        <w:t>The FS is trying to have it both ways. Counting trees &gt;21” as large trees when identifying HRV of LOS, but then allowing removal of those very trees, in violation of the requirement to retain LOS components.</w:t>
      </w:r>
    </w:p>
    <w:p w:rsidR="00EE1DAC" w:rsidRDefault="00EE1DAC" w:rsidP="00EE1DAC"/>
    <w:p w:rsidR="0025001E" w:rsidRDefault="0025001E" w:rsidP="00EE1DAC">
      <w:r>
        <w:t>EA (p 32) says “</w:t>
      </w:r>
      <w:r>
        <w:rPr>
          <w:sz w:val="23"/>
          <w:szCs w:val="23"/>
        </w:rPr>
        <w:t xml:space="preserve">Old trees are declining across the eastern Oregon landscape. </w:t>
      </w:r>
      <w:r w:rsidRPr="00BE4F2B">
        <w:t>Trees older than 150 years in age have decreased by approxi</w:t>
      </w:r>
      <w:r>
        <w:t>mately 8% between 2001 and 2017</w:t>
      </w:r>
      <w:r w:rsidRPr="00BE4F2B">
        <w:t>.</w:t>
      </w:r>
      <w:r>
        <w:t xml:space="preserve">” This information lacks important context. Does the “eastern Oregon landscape” include non-federal land, and/or BLM lands where the Eastside Screens do not apply? How are large and old trees faring where the Screens are in place? What is the cause of old tree mortality - logging, climate driven fire, salvage, hazard tree removal, firewood, </w:t>
      </w:r>
      <w:proofErr w:type="spellStart"/>
      <w:r>
        <w:t>etc</w:t>
      </w:r>
      <w:proofErr w:type="spellEnd"/>
      <w:r>
        <w:t>? The answers to these questions are critically important to evaluate this policy proposal.</w:t>
      </w:r>
    </w:p>
    <w:p w:rsidR="00EE1DAC" w:rsidRDefault="00EE1DAC" w:rsidP="0025001E"/>
    <w:p w:rsidR="0025001E" w:rsidRDefault="0025001E" w:rsidP="0025001E">
      <w:r>
        <w:t xml:space="preserve">EA (p 34) reports the fate of large trees using FIA data. This raises concerns. The EA should not conclude lack of management has impeded the restoration of large trees, because unmanaged forest are rare and tend to be disproportionally in low productivity sites. The FS should re-evaluate the large tree restoration performance accounting for site productivity and other relevant differences.  </w:t>
      </w:r>
    </w:p>
    <w:p w:rsidR="00B95EE2" w:rsidRDefault="00B95EE2" w:rsidP="0025001E"/>
    <w:p w:rsidR="00607E2F" w:rsidRDefault="00607E2F" w:rsidP="00607E2F">
      <w:r>
        <w:t>The FS should include an indicator that captures the ecological importance of conserving tree clumps. This large tree removal plan amendment is likely to result in the intentional or unintentional “</w:t>
      </w:r>
      <w:proofErr w:type="spellStart"/>
      <w:r>
        <w:t>declumping</w:t>
      </w:r>
      <w:proofErr w:type="spellEnd"/>
      <w:r>
        <w:t xml:space="preserve">” of eastside forests. Foresters are trained to limit competition between trees and “reduce fuel continuity” which often means thinning in a way that results in less spatial variability and more uniform spacing between trees. Even when the FS tries to thin variably and retain spatial </w:t>
      </w:r>
      <w:r w:rsidRPr="00607E2F">
        <w:t>heterogeneity</w:t>
      </w:r>
      <w:r>
        <w:t xml:space="preserve">, they often end up simplifying and homogenizing stand structure. This causes significant and long-lasting ecological harm. This plan amendment will encourage the removal of large shade-tolerant trees from under legacy pine and larch trees, both with the goal of reducing competition and reducing fuels hazards, but there are significant trade-offs, including the loss of natural </w:t>
      </w:r>
      <w:proofErr w:type="spellStart"/>
      <w:r>
        <w:t>clumpiness</w:t>
      </w:r>
      <w:proofErr w:type="spellEnd"/>
      <w:r>
        <w:t xml:space="preserve"> and associated  natural processes. “The fine-scale mosaic pattern is thought to be a key factor underpinning the resilience of dry forest ecosystems.” </w:t>
      </w:r>
      <w:r>
        <w:rPr>
          <w:color w:val="000000"/>
        </w:rPr>
        <w:t xml:space="preserve">Derek J. Churchill, Andrew J. Larson, Matthew C. </w:t>
      </w:r>
      <w:proofErr w:type="spellStart"/>
      <w:r>
        <w:rPr>
          <w:color w:val="000000"/>
        </w:rPr>
        <w:t>Dahlgreen</w:t>
      </w:r>
      <w:proofErr w:type="spellEnd"/>
      <w:r>
        <w:rPr>
          <w:color w:val="000000"/>
        </w:rPr>
        <w:t xml:space="preserve">, Jerry F. Franklin, Paul F. </w:t>
      </w:r>
      <w:proofErr w:type="spellStart"/>
      <w:r>
        <w:rPr>
          <w:color w:val="000000"/>
        </w:rPr>
        <w:t>Hessburg</w:t>
      </w:r>
      <w:proofErr w:type="spellEnd"/>
      <w:r>
        <w:rPr>
          <w:color w:val="000000"/>
        </w:rPr>
        <w:t xml:space="preserve">, and James A. Lutz. 2013. Restoring forest resilience: From reference spatial </w:t>
      </w:r>
      <w:r>
        <w:rPr>
          <w:color w:val="000000"/>
        </w:rPr>
        <w:lastRenderedPageBreak/>
        <w:t xml:space="preserve">patterns to silvicultural prescriptions and monitoring. Forest Ecology and Management 291 (2013) 442–457. </w:t>
      </w:r>
      <w:hyperlink r:id="rId34" w:history="1">
        <w:r w:rsidRPr="00BB0253">
          <w:rPr>
            <w:rStyle w:val="Hyperlink"/>
          </w:rPr>
          <w:t>http://www.fs.usda.gov/Internet/FSE_DOCUMENTS/stelprdb5428873.pdf</w:t>
        </w:r>
      </w:hyperlink>
      <w:r>
        <w:rPr>
          <w:color w:val="000000"/>
        </w:rPr>
        <w:t xml:space="preserve"> </w:t>
      </w:r>
    </w:p>
    <w:p w:rsidR="00607E2F" w:rsidRDefault="00607E2F" w:rsidP="00607E2F">
      <w:pPr>
        <w:keepNext/>
        <w:spacing w:before="100" w:after="100"/>
        <w:ind w:left="1440"/>
      </w:pPr>
      <w:r>
        <w:rPr>
          <w:noProof/>
        </w:rPr>
        <w:drawing>
          <wp:inline distT="0" distB="0" distL="0" distR="0">
            <wp:extent cx="2195830" cy="2992755"/>
            <wp:effectExtent l="0" t="0" r="0" b="0"/>
            <wp:docPr id="16" name="Picture 16" descr="ppine cl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ine clu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5830" cy="2992755"/>
                    </a:xfrm>
                    <a:prstGeom prst="rect">
                      <a:avLst/>
                    </a:prstGeom>
                    <a:noFill/>
                    <a:ln>
                      <a:noFill/>
                    </a:ln>
                  </pic:spPr>
                </pic:pic>
              </a:graphicData>
            </a:graphic>
          </wp:inline>
        </w:drawing>
      </w:r>
    </w:p>
    <w:p w:rsidR="00607E2F" w:rsidRDefault="00607E2F" w:rsidP="00607E2F">
      <w:pPr>
        <w:pStyle w:val="Caption"/>
        <w:ind w:left="1440"/>
      </w:pPr>
      <w:r>
        <w:t xml:space="preserve">Figure </w:t>
      </w:r>
      <w:r w:rsidR="00347CB8">
        <w:fldChar w:fldCharType="begin"/>
      </w:r>
      <w:r w:rsidR="00347CB8">
        <w:instrText xml:space="preserve"> SEQ Figure \* ARABIC </w:instrText>
      </w:r>
      <w:r w:rsidR="00347CB8">
        <w:fldChar w:fldCharType="separate"/>
      </w:r>
      <w:r>
        <w:rPr>
          <w:noProof/>
        </w:rPr>
        <w:t>1</w:t>
      </w:r>
      <w:r w:rsidR="00347CB8">
        <w:rPr>
          <w:noProof/>
        </w:rPr>
        <w:fldChar w:fldCharType="end"/>
      </w:r>
      <w:r>
        <w:t xml:space="preserve">. </w:t>
      </w:r>
      <w:r w:rsidRPr="00CD625D">
        <w:t>An example of naturally clumped large pines.</w:t>
      </w:r>
    </w:p>
    <w:p w:rsidR="00607E2F" w:rsidRPr="008C6DA7" w:rsidRDefault="00607E2F" w:rsidP="00607E2F">
      <w:r>
        <w:t xml:space="preserve">A historical reconstruction of forests in the Blue Mountains of Oregon, showed that more than 2/3 of plots had large clumps of between 10-30 trees and 50-90% of individual trees were within 6 meters of other trees (i.e., few were isolated individuals). Churchill, Derek J.; </w:t>
      </w:r>
      <w:proofErr w:type="spellStart"/>
      <w:r>
        <w:t>Carnwath</w:t>
      </w:r>
      <w:proofErr w:type="spellEnd"/>
      <w:r>
        <w:t xml:space="preserve">, Gunnar C.; Larson, Andrew J.; </w:t>
      </w:r>
      <w:proofErr w:type="spellStart"/>
      <w:r>
        <w:t>Jeronimo</w:t>
      </w:r>
      <w:proofErr w:type="spellEnd"/>
      <w:r>
        <w:t xml:space="preserve">, Sean A. 2017. Historical forest structure, composition, and spatial pattern in dry conifer forests of the western Blue Mountains, Oregon. Gen. Tech. Rep. PNWGTR-956. Portland, OR: U.S. Department of Agriculture, Forest Service, Pacific Northwest Research Station. 93 p. </w:t>
      </w:r>
      <w:hyperlink r:id="rId36" w:history="1">
        <w:r w:rsidRPr="00254D5C">
          <w:rPr>
            <w:rStyle w:val="Hyperlink"/>
          </w:rPr>
          <w:t>https://www.fs.fed.us/pnw/pubs/pnw_gtr956.pdf</w:t>
        </w:r>
      </w:hyperlink>
      <w:r>
        <w:t xml:space="preserve">. </w:t>
      </w:r>
    </w:p>
    <w:p w:rsidR="00607E2F" w:rsidRDefault="00607E2F" w:rsidP="0025001E"/>
    <w:p w:rsidR="00B95EE2" w:rsidRDefault="00B95EE2" w:rsidP="0025001E">
      <w:r>
        <w:t xml:space="preserve">Using species composition as an indicator is fraught with risks. The FS </w:t>
      </w:r>
      <w:r w:rsidR="00643B5A">
        <w:t xml:space="preserve">objective </w:t>
      </w:r>
      <w:r>
        <w:t xml:space="preserve">seems to be </w:t>
      </w:r>
      <w:r w:rsidR="00643B5A">
        <w:t xml:space="preserve">converting diverse forests of pine and shade-tolerant trees into </w:t>
      </w:r>
      <w:r>
        <w:t>park-like stands of mostly Ponderosa pine. This conflicts with the science indicating that forests with diverse tree</w:t>
      </w:r>
      <w:r w:rsidR="00643B5A">
        <w:t xml:space="preserve"> species may be more productive</w:t>
      </w:r>
      <w:r>
        <w:t xml:space="preserve"> </w:t>
      </w:r>
      <w:r w:rsidR="00643B5A">
        <w:t xml:space="preserve">and </w:t>
      </w:r>
      <w:r>
        <w:t>more resilient. See for instance:</w:t>
      </w:r>
    </w:p>
    <w:p w:rsidR="00B95EE2" w:rsidRPr="00B95EE2" w:rsidRDefault="00B95EE2" w:rsidP="00B95EE2">
      <w:pPr>
        <w:pStyle w:val="ListParagraph"/>
        <w:numPr>
          <w:ilvl w:val="0"/>
          <w:numId w:val="40"/>
        </w:numPr>
        <w:rPr>
          <w:u w:val="single"/>
        </w:rPr>
      </w:pPr>
      <w:proofErr w:type="spellStart"/>
      <w:r w:rsidRPr="00B95EE2">
        <w:rPr>
          <w:color w:val="1C1D1E"/>
          <w:shd w:val="clear" w:color="auto" w:fill="FFFFFF"/>
        </w:rPr>
        <w:t>Ammer</w:t>
      </w:r>
      <w:proofErr w:type="spellEnd"/>
      <w:r w:rsidRPr="00B95EE2">
        <w:rPr>
          <w:color w:val="1C1D1E"/>
          <w:shd w:val="clear" w:color="auto" w:fill="FFFFFF"/>
        </w:rPr>
        <w:t xml:space="preserve">, C. (2019), Diversity and forest productivity in a changing climate. </w:t>
      </w:r>
      <w:r w:rsidRPr="00B95EE2">
        <w:rPr>
          <w:i/>
          <w:iCs/>
          <w:color w:val="1C1D1E"/>
          <w:shd w:val="clear" w:color="auto" w:fill="FFFFFF"/>
        </w:rPr>
        <w:t>New Phytol</w:t>
      </w:r>
      <w:r w:rsidRPr="00B95EE2">
        <w:rPr>
          <w:color w:val="1C1D1E"/>
          <w:shd w:val="clear" w:color="auto" w:fill="FFFFFF"/>
        </w:rPr>
        <w:t>, 221: 50-66. doi:</w:t>
      </w:r>
      <w:hyperlink r:id="rId37" w:history="1">
        <w:r w:rsidRPr="00B95EE2">
          <w:rPr>
            <w:rStyle w:val="Hyperlink"/>
            <w:color w:val="004543"/>
            <w:shd w:val="clear" w:color="auto" w:fill="FFFFFF"/>
          </w:rPr>
          <w:t>10.1111/nph.15263</w:t>
        </w:r>
      </w:hyperlink>
    </w:p>
    <w:p w:rsidR="00B95EE2" w:rsidRPr="00B95EE2" w:rsidRDefault="00B95EE2" w:rsidP="00B95EE2">
      <w:pPr>
        <w:pStyle w:val="ListParagraph"/>
        <w:numPr>
          <w:ilvl w:val="0"/>
          <w:numId w:val="37"/>
        </w:numPr>
        <w:spacing w:after="160" w:line="259" w:lineRule="auto"/>
        <w:rPr>
          <w:color w:val="1C1D1E"/>
          <w:shd w:val="clear" w:color="auto" w:fill="FFFFFF"/>
        </w:rPr>
      </w:pPr>
      <w:r w:rsidRPr="00B95EE2">
        <w:rPr>
          <w:color w:val="1C1D1E"/>
          <w:shd w:val="clear" w:color="auto" w:fill="FFFFFF"/>
        </w:rPr>
        <w:t xml:space="preserve"> “First, there is increasing concern that tree species loss will lead to reduced ecosystem functioning and services, of which productivity is a key feature (Hooper </w:t>
      </w:r>
      <w:r w:rsidRPr="00B95EE2">
        <w:rPr>
          <w:i/>
          <w:iCs/>
          <w:color w:val="1C1D1E"/>
          <w:shd w:val="clear" w:color="auto" w:fill="FFFFFF"/>
        </w:rPr>
        <w:t>et al</w:t>
      </w:r>
      <w:r w:rsidRPr="00A12B51">
        <w:rPr>
          <w:color w:val="1C1D1E"/>
          <w:shd w:val="clear" w:color="auto" w:fill="FFFFFF"/>
        </w:rPr>
        <w:t>., </w:t>
      </w:r>
      <w:hyperlink r:id="rId38" w:anchor="nph15263-bib-0075" w:history="1">
        <w:r w:rsidRPr="00A12B51">
          <w:rPr>
            <w:rStyle w:val="Hyperlink"/>
            <w:bCs/>
            <w:color w:val="000000"/>
          </w:rPr>
          <w:t>2012</w:t>
        </w:r>
      </w:hyperlink>
      <w:r w:rsidRPr="00A12B51">
        <w:rPr>
          <w:color w:val="1C1D1E"/>
          <w:shd w:val="clear" w:color="auto" w:fill="FFFFFF"/>
        </w:rPr>
        <w:t>).Using a global dataset of </w:t>
      </w:r>
      <w:r w:rsidRPr="00A12B51">
        <w:rPr>
          <w:i/>
          <w:iCs/>
          <w:color w:val="1C1D1E"/>
          <w:shd w:val="clear" w:color="auto" w:fill="FFFFFF"/>
        </w:rPr>
        <w:t>c</w:t>
      </w:r>
      <w:r w:rsidRPr="00A12B51">
        <w:rPr>
          <w:color w:val="1C1D1E"/>
          <w:shd w:val="clear" w:color="auto" w:fill="FFFFFF"/>
        </w:rPr>
        <w:t>. 750 000 permanent sample plots and 30 million trees, Liang </w:t>
      </w:r>
      <w:r w:rsidRPr="00A12B51">
        <w:rPr>
          <w:i/>
          <w:iCs/>
          <w:color w:val="1C1D1E"/>
          <w:shd w:val="clear" w:color="auto" w:fill="FFFFFF"/>
        </w:rPr>
        <w:t>et al</w:t>
      </w:r>
      <w:r w:rsidRPr="00A12B51">
        <w:rPr>
          <w:color w:val="1C1D1E"/>
          <w:shd w:val="clear" w:color="auto" w:fill="FFFFFF"/>
        </w:rPr>
        <w:t>. (</w:t>
      </w:r>
      <w:hyperlink r:id="rId39" w:anchor="nph15263-bib-0105" w:history="1">
        <w:r w:rsidRPr="00A12B51">
          <w:rPr>
            <w:rStyle w:val="Hyperlink"/>
            <w:bCs/>
            <w:color w:val="000000"/>
          </w:rPr>
          <w:t>2016</w:t>
        </w:r>
      </w:hyperlink>
      <w:r w:rsidRPr="00A12B51">
        <w:rPr>
          <w:color w:val="1C1D1E"/>
          <w:shd w:val="clear" w:color="auto" w:fill="FFFFFF"/>
        </w:rPr>
        <w:t>) showed that productivity of forests would decrease if tree species richness was reduced. It was further shown that tree species richness and multiple ecosystem services are positively correlated (</w:t>
      </w:r>
      <w:proofErr w:type="spellStart"/>
      <w:r w:rsidRPr="00A12B51">
        <w:rPr>
          <w:color w:val="1C1D1E"/>
          <w:shd w:val="clear" w:color="auto" w:fill="FFFFFF"/>
        </w:rPr>
        <w:t>Gamfeldt</w:t>
      </w:r>
      <w:proofErr w:type="spellEnd"/>
      <w:r w:rsidRPr="00A12B51">
        <w:rPr>
          <w:color w:val="1C1D1E"/>
          <w:shd w:val="clear" w:color="auto" w:fill="FFFFFF"/>
        </w:rPr>
        <w:t> </w:t>
      </w:r>
      <w:r w:rsidRPr="00A12B51">
        <w:rPr>
          <w:i/>
          <w:iCs/>
          <w:color w:val="1C1D1E"/>
          <w:shd w:val="clear" w:color="auto" w:fill="FFFFFF"/>
        </w:rPr>
        <w:t>et al</w:t>
      </w:r>
      <w:r w:rsidRPr="00A12B51">
        <w:rPr>
          <w:color w:val="1C1D1E"/>
          <w:shd w:val="clear" w:color="auto" w:fill="FFFFFF"/>
        </w:rPr>
        <w:t>., </w:t>
      </w:r>
      <w:hyperlink r:id="rId40" w:anchor="nph15263-bib-0055" w:history="1">
        <w:r w:rsidRPr="00A12B51">
          <w:rPr>
            <w:rStyle w:val="Hyperlink"/>
            <w:bCs/>
            <w:color w:val="000000"/>
          </w:rPr>
          <w:t>2013</w:t>
        </w:r>
      </w:hyperlink>
      <w:r w:rsidRPr="00A12B51">
        <w:rPr>
          <w:color w:val="1C1D1E"/>
          <w:shd w:val="clear" w:color="auto" w:fill="FFFFFF"/>
        </w:rPr>
        <w:t xml:space="preserve">). In that study, various services were better provided by five tree species than by one tree species. Second, the suggested positive relationship between tree species diversity and </w:t>
      </w:r>
      <w:r w:rsidRPr="00A12B51">
        <w:rPr>
          <w:color w:val="1C1D1E"/>
          <w:shd w:val="clear" w:color="auto" w:fill="FFFFFF"/>
        </w:rPr>
        <w:lastRenderedPageBreak/>
        <w:t>productivity provides an opportunity to increase biomass production, economic return and/or carbon (C) sequestration if appropriate mixtures are selected (</w:t>
      </w:r>
      <w:proofErr w:type="spellStart"/>
      <w:r w:rsidRPr="00A12B51">
        <w:rPr>
          <w:color w:val="1C1D1E"/>
          <w:shd w:val="clear" w:color="auto" w:fill="FFFFFF"/>
        </w:rPr>
        <w:t>Kelty</w:t>
      </w:r>
      <w:proofErr w:type="spellEnd"/>
      <w:r w:rsidRPr="00A12B51">
        <w:rPr>
          <w:color w:val="1C1D1E"/>
          <w:shd w:val="clear" w:color="auto" w:fill="FFFFFF"/>
        </w:rPr>
        <w:t>, </w:t>
      </w:r>
      <w:hyperlink r:id="rId41" w:anchor="nph15263-bib-0092" w:history="1">
        <w:r w:rsidRPr="00A12B51">
          <w:rPr>
            <w:rStyle w:val="Hyperlink"/>
            <w:bCs/>
            <w:color w:val="000000"/>
          </w:rPr>
          <w:t>2006</w:t>
        </w:r>
      </w:hyperlink>
      <w:r w:rsidRPr="00A12B51">
        <w:rPr>
          <w:color w:val="1C1D1E"/>
          <w:shd w:val="clear" w:color="auto" w:fill="FFFFFF"/>
        </w:rPr>
        <w:t>).</w:t>
      </w:r>
      <w:r w:rsidRPr="00B95EE2">
        <w:rPr>
          <w:color w:val="1C1D1E"/>
          <w:shd w:val="clear" w:color="auto" w:fill="FFFFFF"/>
        </w:rPr>
        <w:t xml:space="preserve"> Third, diverse forests seem to stabilize aboveground woody biomass production.”</w:t>
      </w:r>
    </w:p>
    <w:p w:rsidR="00B95EE2" w:rsidRPr="00B95EE2" w:rsidRDefault="00B95EE2" w:rsidP="00B95EE2">
      <w:pPr>
        <w:pStyle w:val="NoSpacing"/>
        <w:ind w:left="360" w:hanging="360"/>
        <w:rPr>
          <w:rFonts w:ascii="Times New Roman" w:hAnsi="Times New Roman" w:cs="Times New Roman"/>
          <w:sz w:val="24"/>
          <w:szCs w:val="24"/>
          <w:shd w:val="clear" w:color="auto" w:fill="FFFFFF"/>
        </w:rPr>
      </w:pPr>
      <w:r w:rsidRPr="00B95EE2">
        <w:rPr>
          <w:rFonts w:ascii="Times New Roman" w:hAnsi="Times New Roman" w:cs="Times New Roman"/>
          <w:sz w:val="24"/>
          <w:szCs w:val="24"/>
          <w:shd w:val="clear" w:color="auto" w:fill="FFFFFF"/>
        </w:rPr>
        <w:t xml:space="preserve">2. </w:t>
      </w:r>
      <w:proofErr w:type="spellStart"/>
      <w:r w:rsidRPr="00B95EE2">
        <w:rPr>
          <w:rFonts w:ascii="Times New Roman" w:hAnsi="Times New Roman" w:cs="Times New Roman"/>
          <w:sz w:val="24"/>
          <w:szCs w:val="24"/>
          <w:shd w:val="clear" w:color="auto" w:fill="FFFFFF"/>
        </w:rPr>
        <w:t>Fichtner</w:t>
      </w:r>
      <w:proofErr w:type="spellEnd"/>
      <w:r w:rsidRPr="00B95EE2">
        <w:rPr>
          <w:rFonts w:ascii="Times New Roman" w:hAnsi="Times New Roman" w:cs="Times New Roman"/>
          <w:sz w:val="24"/>
          <w:szCs w:val="24"/>
          <w:shd w:val="clear" w:color="auto" w:fill="FFFFFF"/>
        </w:rPr>
        <w:t xml:space="preserve">, A., et al. (2020). </w:t>
      </w:r>
      <w:proofErr w:type="spellStart"/>
      <w:r w:rsidRPr="00B95EE2">
        <w:rPr>
          <w:rFonts w:ascii="Times New Roman" w:hAnsi="Times New Roman" w:cs="Times New Roman"/>
          <w:sz w:val="24"/>
          <w:szCs w:val="24"/>
          <w:shd w:val="clear" w:color="auto" w:fill="FFFFFF"/>
        </w:rPr>
        <w:t>Neighbourhood</w:t>
      </w:r>
      <w:proofErr w:type="spellEnd"/>
      <w:r w:rsidRPr="00B95EE2">
        <w:rPr>
          <w:rFonts w:ascii="Times New Roman" w:hAnsi="Times New Roman" w:cs="Times New Roman"/>
          <w:sz w:val="24"/>
          <w:szCs w:val="24"/>
          <w:shd w:val="clear" w:color="auto" w:fill="FFFFFF"/>
        </w:rPr>
        <w:t xml:space="preserve"> diversity mitigates drought impacts on tree growth</w:t>
      </w:r>
    </w:p>
    <w:p w:rsidR="00B95EE2" w:rsidRPr="00B95EE2" w:rsidRDefault="00347CB8" w:rsidP="00B95EE2">
      <w:pPr>
        <w:pStyle w:val="NoSpacing"/>
        <w:ind w:left="360"/>
        <w:rPr>
          <w:rFonts w:ascii="Times New Roman" w:hAnsi="Times New Roman" w:cs="Times New Roman"/>
          <w:sz w:val="24"/>
          <w:szCs w:val="24"/>
          <w:shd w:val="clear" w:color="auto" w:fill="FFFFFF"/>
        </w:rPr>
      </w:pPr>
      <w:hyperlink r:id="rId42" w:history="1">
        <w:r w:rsidR="00B95EE2" w:rsidRPr="00B95EE2">
          <w:rPr>
            <w:rStyle w:val="Hyperlink"/>
            <w:rFonts w:ascii="Times New Roman" w:hAnsi="Times New Roman" w:cs="Times New Roman"/>
            <w:sz w:val="24"/>
            <w:szCs w:val="24"/>
            <w:shd w:val="clear" w:color="auto" w:fill="FFFFFF"/>
          </w:rPr>
          <w:t>Journal of Ecology</w:t>
        </w:r>
      </w:hyperlink>
      <w:r w:rsidR="00B95EE2" w:rsidRPr="00B95EE2">
        <w:rPr>
          <w:rFonts w:ascii="Times New Roman" w:hAnsi="Times New Roman" w:cs="Times New Roman"/>
          <w:sz w:val="24"/>
          <w:szCs w:val="24"/>
          <w:shd w:val="clear" w:color="auto" w:fill="FFFFFF"/>
        </w:rPr>
        <w:t xml:space="preserve">, 108(3), 865-875. </w:t>
      </w:r>
      <w:hyperlink r:id="rId43" w:history="1">
        <w:r w:rsidR="00B95EE2" w:rsidRPr="00B95EE2">
          <w:rPr>
            <w:rFonts w:ascii="Times New Roman" w:hAnsi="Times New Roman" w:cs="Times New Roman"/>
            <w:sz w:val="24"/>
            <w:szCs w:val="24"/>
            <w:shd w:val="clear" w:color="auto" w:fill="FFFFFF"/>
          </w:rPr>
          <w:t>https://doi.org/10.1111/1365-2745.13353</w:t>
        </w:r>
      </w:hyperlink>
    </w:p>
    <w:p w:rsidR="00B95EE2" w:rsidRPr="00B95EE2" w:rsidRDefault="00B95EE2" w:rsidP="00B95EE2">
      <w:pPr>
        <w:pStyle w:val="NoSpacing"/>
        <w:rPr>
          <w:rFonts w:ascii="Times New Roman" w:hAnsi="Times New Roman" w:cs="Times New Roman"/>
          <w:sz w:val="24"/>
          <w:szCs w:val="24"/>
          <w:shd w:val="clear" w:color="auto" w:fill="FFFFFF"/>
        </w:rPr>
      </w:pPr>
    </w:p>
    <w:p w:rsidR="00B95EE2" w:rsidRPr="00B95EE2" w:rsidRDefault="00B95EE2" w:rsidP="00B95EE2">
      <w:pPr>
        <w:pStyle w:val="ListParagraph"/>
        <w:numPr>
          <w:ilvl w:val="0"/>
          <w:numId w:val="37"/>
        </w:numPr>
        <w:spacing w:after="160" w:line="259" w:lineRule="auto"/>
      </w:pPr>
      <w:r w:rsidRPr="00B95EE2">
        <w:t xml:space="preserve">“biodiversity has a positive effect on forest productivity (Duffy, Godwin, &amp; </w:t>
      </w:r>
      <w:proofErr w:type="spellStart"/>
      <w:r w:rsidRPr="00B95EE2">
        <w:t>Cardinale</w:t>
      </w:r>
      <w:proofErr w:type="spellEnd"/>
      <w:r w:rsidRPr="00B95EE2">
        <w:t xml:space="preserve">, 2017), as mixed-species forest communities have been demonstrated to be more productive (Huang et al., 2018; Liang et al., 2016) and more consistent in productivity over time than monocultures (del Río et al., 2017; </w:t>
      </w:r>
      <w:proofErr w:type="spellStart"/>
      <w:r w:rsidRPr="00B95EE2">
        <w:t>Jucker</w:t>
      </w:r>
      <w:proofErr w:type="spellEnd"/>
      <w:r w:rsidRPr="00B95EE2">
        <w:t xml:space="preserve">, </w:t>
      </w:r>
      <w:proofErr w:type="spellStart"/>
      <w:r w:rsidRPr="00B95EE2">
        <w:t>Bouriaud</w:t>
      </w:r>
      <w:proofErr w:type="spellEnd"/>
      <w:r w:rsidRPr="00B95EE2">
        <w:t xml:space="preserve">, </w:t>
      </w:r>
      <w:proofErr w:type="spellStart"/>
      <w:r w:rsidRPr="00B95EE2">
        <w:t>Avacaritei</w:t>
      </w:r>
      <w:proofErr w:type="spellEnd"/>
      <w:r w:rsidRPr="00B95EE2">
        <w:t xml:space="preserve">, &amp; </w:t>
      </w:r>
      <w:proofErr w:type="spellStart"/>
      <w:r w:rsidRPr="00B95EE2">
        <w:t>Coomes</w:t>
      </w:r>
      <w:proofErr w:type="spellEnd"/>
      <w:r w:rsidRPr="00B95EE2">
        <w:t xml:space="preserve">, 2014; Morin, </w:t>
      </w:r>
      <w:proofErr w:type="spellStart"/>
      <w:r w:rsidRPr="00B95EE2">
        <w:t>Fahse</w:t>
      </w:r>
      <w:proofErr w:type="spellEnd"/>
      <w:r w:rsidRPr="00B95EE2">
        <w:t xml:space="preserve">, de </w:t>
      </w:r>
      <w:proofErr w:type="spellStart"/>
      <w:r w:rsidRPr="00B95EE2">
        <w:t>Mazancourt</w:t>
      </w:r>
      <w:proofErr w:type="spellEnd"/>
      <w:r w:rsidRPr="00B95EE2">
        <w:t>, Scherer-</w:t>
      </w:r>
      <w:proofErr w:type="spellStart"/>
      <w:r w:rsidRPr="00B95EE2">
        <w:t>Lorenzen</w:t>
      </w:r>
      <w:proofErr w:type="spellEnd"/>
      <w:r w:rsidRPr="00B95EE2">
        <w:t xml:space="preserve">, &amp; </w:t>
      </w:r>
      <w:proofErr w:type="spellStart"/>
      <w:r w:rsidRPr="00B95EE2">
        <w:t>Bugmann</w:t>
      </w:r>
      <w:proofErr w:type="spellEnd"/>
      <w:r w:rsidRPr="00B95EE2">
        <w:t>, 2014; Schnabel et al., 2019), resulting in higher amounts of carbon stored above- and below-ground in species-rich forests (Liu et al., 2018).”</w:t>
      </w:r>
    </w:p>
    <w:p w:rsidR="00B95EE2" w:rsidRPr="00B95EE2" w:rsidRDefault="00B95EE2" w:rsidP="00B95EE2">
      <w:pPr>
        <w:pStyle w:val="ListParagraph"/>
        <w:numPr>
          <w:ilvl w:val="0"/>
          <w:numId w:val="37"/>
        </w:numPr>
        <w:spacing w:after="160" w:line="259" w:lineRule="auto"/>
      </w:pPr>
      <w:r w:rsidRPr="00B95EE2">
        <w:t>“Biodiversity is considered to mitigate detrimental impacts of climate change on the functioning of forest ecosystems, such as drought-induced decline in forest productivity.”</w:t>
      </w:r>
    </w:p>
    <w:p w:rsidR="00B95EE2" w:rsidRPr="00B95EE2" w:rsidRDefault="00B95EE2" w:rsidP="00B95EE2">
      <w:pPr>
        <w:pStyle w:val="ListParagraph"/>
        <w:numPr>
          <w:ilvl w:val="0"/>
          <w:numId w:val="37"/>
        </w:numPr>
        <w:spacing w:after="160" w:line="259" w:lineRule="auto"/>
      </w:pPr>
      <w:r w:rsidRPr="00B95EE2">
        <w:t xml:space="preserve">“diverse </w:t>
      </w:r>
      <w:proofErr w:type="spellStart"/>
      <w:r w:rsidRPr="00B95EE2">
        <w:t>neighbourhoods</w:t>
      </w:r>
      <w:proofErr w:type="spellEnd"/>
      <w:r w:rsidRPr="00B95EE2">
        <w:t xml:space="preserve"> may enhance ecosystem resistance to drought by locally supporting drought sensitive species in the community.”</w:t>
      </w:r>
    </w:p>
    <w:p w:rsidR="00B95EE2" w:rsidRPr="00B95EE2" w:rsidRDefault="00B95EE2" w:rsidP="00B95EE2">
      <w:pPr>
        <w:pStyle w:val="ListParagraph"/>
        <w:numPr>
          <w:ilvl w:val="0"/>
          <w:numId w:val="37"/>
        </w:numPr>
        <w:spacing w:after="160" w:line="259" w:lineRule="auto"/>
        <w:rPr>
          <w:u w:val="single"/>
        </w:rPr>
      </w:pPr>
      <w:r w:rsidRPr="00B95EE2">
        <w:t xml:space="preserve">“Our findings demonstrate that mechanisms operating at the local </w:t>
      </w:r>
      <w:proofErr w:type="spellStart"/>
      <w:r w:rsidRPr="00B95EE2">
        <w:t>neighbourhood</w:t>
      </w:r>
      <w:proofErr w:type="spellEnd"/>
      <w:r w:rsidRPr="00B95EE2">
        <w:t xml:space="preserve"> scale are a key component for regulating forests responses to drought and improve insights into how local species interactions vary along stress gradients in highly diverse tree communities.”</w:t>
      </w:r>
    </w:p>
    <w:p w:rsidR="00B95EE2" w:rsidRPr="00B95EE2" w:rsidRDefault="00B95EE2" w:rsidP="00B95EE2">
      <w:pPr>
        <w:autoSpaceDE w:val="0"/>
        <w:autoSpaceDN w:val="0"/>
        <w:adjustRightInd w:val="0"/>
        <w:spacing w:line="240" w:lineRule="auto"/>
        <w:ind w:left="360" w:hanging="360"/>
      </w:pPr>
      <w:r w:rsidRPr="00B95EE2">
        <w:t xml:space="preserve">3. Fisher, M.R. (2011) </w:t>
      </w:r>
      <w:r w:rsidRPr="00B95EE2">
        <w:rPr>
          <w:i/>
        </w:rPr>
        <w:t xml:space="preserve">Changes in </w:t>
      </w:r>
      <w:proofErr w:type="spellStart"/>
      <w:r w:rsidRPr="00B95EE2">
        <w:rPr>
          <w:i/>
        </w:rPr>
        <w:t>Macromoth</w:t>
      </w:r>
      <w:proofErr w:type="spellEnd"/>
      <w:r w:rsidRPr="00B95EE2">
        <w:rPr>
          <w:i/>
        </w:rPr>
        <w:t xml:space="preserve"> Community Structure Following Deforestation in Western Washington State. </w:t>
      </w:r>
      <w:r w:rsidRPr="00B95EE2">
        <w:t>MS Thesis,</w:t>
      </w:r>
      <w:r w:rsidRPr="00B95EE2">
        <w:rPr>
          <w:i/>
        </w:rPr>
        <w:t xml:space="preserve"> </w:t>
      </w:r>
      <w:r w:rsidRPr="00B95EE2">
        <w:t>Western Washington University, USA.</w:t>
      </w:r>
    </w:p>
    <w:p w:rsidR="00B95EE2" w:rsidRPr="00B95EE2" w:rsidRDefault="00B95EE2" w:rsidP="00B95EE2">
      <w:pPr>
        <w:pStyle w:val="ListParagraph"/>
        <w:numPr>
          <w:ilvl w:val="0"/>
          <w:numId w:val="38"/>
        </w:numPr>
        <w:spacing w:after="160" w:line="259" w:lineRule="auto"/>
      </w:pPr>
      <w:r w:rsidRPr="00B95EE2">
        <w:t xml:space="preserve"> “Structural complexity [influenced by tree species richness] in forests is generally believed to promote biodiversity and productivity (Ishii et al. 2004), because forest structure provides gradients in microclimate, solar radiation, and habitat availability (Spies 1998). Many organisms are associated with mature and old growth forests in the Pacific Northwest, including birds that nest in cavities or on broken tree tops (Michel and Winter 2009), vertebrates, invertebrates, plants, and fungi that depend upon coarse woody debris (Spies 1998), and epiphytic lichens (Halpern and Spies 1995). Many additional species that are not old growth specialists are found in higher abundances in old growth forests than in younger or managed stands (Hansen et al. 1991).”</w:t>
      </w:r>
    </w:p>
    <w:p w:rsidR="00B95EE2" w:rsidRPr="00B95EE2" w:rsidRDefault="00B95EE2" w:rsidP="00B95EE2">
      <w:pPr>
        <w:pStyle w:val="ListParagraph"/>
        <w:numPr>
          <w:ilvl w:val="0"/>
          <w:numId w:val="38"/>
        </w:numPr>
        <w:spacing w:line="259" w:lineRule="auto"/>
      </w:pPr>
      <w:r w:rsidRPr="00B95EE2">
        <w:t xml:space="preserve">“Greater structural complexity of the forest canopy can result in greater productivity and increased habitat heterogeneity, which promotes animal diversity (Ishii et al. 2004, </w:t>
      </w:r>
      <w:proofErr w:type="spellStart"/>
      <w:r w:rsidRPr="00B95EE2">
        <w:t>Lewinsohn</w:t>
      </w:r>
      <w:proofErr w:type="spellEnd"/>
      <w:r w:rsidRPr="00B95EE2">
        <w:t xml:space="preserve"> et al. 2005). This relationship may explain why, at a particular latitude, forests tend to have greater diversity and biomass of moths and other arthropods than habitats with less structurally-complex vegetation (Lawton 1983, Summerville and Crist 2008). In general, larger plants tend to have greater insect species richness than smaller plants, a result that is attributed to size and structure (Lawton 1983). For example, a study of tree species in Finland found that </w:t>
      </w:r>
      <w:proofErr w:type="spellStart"/>
      <w:r w:rsidRPr="00B95EE2">
        <w:t>macrolepidopteran</w:t>
      </w:r>
      <w:proofErr w:type="spellEnd"/>
      <w:r w:rsidRPr="00B95EE2">
        <w:t xml:space="preserve"> species richness was higher on larger-growing tree species than smaller ones (</w:t>
      </w:r>
      <w:proofErr w:type="spellStart"/>
      <w:r w:rsidRPr="00B95EE2">
        <w:t>Neuvonen</w:t>
      </w:r>
      <w:proofErr w:type="spellEnd"/>
      <w:r w:rsidRPr="00B95EE2">
        <w:t xml:space="preserve"> and Niemela 1981).”</w:t>
      </w:r>
    </w:p>
    <w:p w:rsidR="00B95EE2" w:rsidRDefault="00B95EE2" w:rsidP="0025001E">
      <w:pPr>
        <w:pStyle w:val="Default"/>
        <w:numPr>
          <w:ilvl w:val="0"/>
          <w:numId w:val="38"/>
        </w:numPr>
      </w:pPr>
      <w:r w:rsidRPr="00B95EE2">
        <w:lastRenderedPageBreak/>
        <w:t xml:space="preserve">“Altogether, it </w:t>
      </w:r>
      <w:r w:rsidRPr="00B95EE2">
        <w:rPr>
          <w:color w:val="auto"/>
        </w:rPr>
        <w:t>appears that larger plants, through both height and variety of above-ground structures, provide greater heterogeneity of feeding sites, microclimate, foliage toughness and chemistry, and refugia than smaller plants (Lawton 1983, Ishii et al. 2004). This likely explains why many forest animals, including herbivorous insects, exhibit vertical stratification (Lawton 1983, Ishii et al. 2004).”</w:t>
      </w:r>
    </w:p>
    <w:p w:rsidR="0025001E" w:rsidRDefault="00F73E70" w:rsidP="0025001E">
      <w:pPr>
        <w:pStyle w:val="Heading2"/>
      </w:pPr>
      <w:bookmarkStart w:id="18" w:name="_Toc53483519"/>
      <w:r>
        <w:t>FVS MODELLING PROBLEMS</w:t>
      </w:r>
      <w:bookmarkEnd w:id="18"/>
    </w:p>
    <w:p w:rsidR="0025001E" w:rsidRDefault="0025001E" w:rsidP="0025001E">
      <w:r>
        <w:t>We have concerns about the logging prescriptions used in FVS modelling.</w:t>
      </w:r>
    </w:p>
    <w:p w:rsidR="00EE1DAC" w:rsidRDefault="00EE1DAC" w:rsidP="0025001E"/>
    <w:p w:rsidR="0025001E" w:rsidRDefault="0025001E" w:rsidP="0025001E">
      <w:r>
        <w:t xml:space="preserve">Stand density indicators used by foresters to design timber sales are intended for tree farming in relatively young, uniform forests. Those tools are not appropriate in stands of large and old trees that exhibit a naturally clumpy and </w:t>
      </w:r>
      <w:proofErr w:type="spellStart"/>
      <w:r>
        <w:t>gappy</w:t>
      </w:r>
      <w:proofErr w:type="spellEnd"/>
      <w:r>
        <w:t xml:space="preserve"> distribution of trees. As explained by Franklin, </w:t>
      </w:r>
      <w:proofErr w:type="spellStart"/>
      <w:r>
        <w:t>Seager</w:t>
      </w:r>
      <w:proofErr w:type="spellEnd"/>
      <w:r>
        <w:t xml:space="preserve"> &amp; Johnson in their review of this EA:</w:t>
      </w:r>
    </w:p>
    <w:p w:rsidR="0025001E" w:rsidRDefault="0025001E" w:rsidP="0025001E">
      <w:pPr>
        <w:ind w:left="720"/>
      </w:pPr>
      <w:r>
        <w:t>In no case should the stand density indices developed for managed stands be used to judge conditions in old tree dominated stands. The stand density indices used in managed stands composed largely of younger trees are not appropriate to judge competitive conditions in stands of old trees, in which the basal areas are largely composed of heartwood rather than sapwood.</w:t>
      </w:r>
    </w:p>
    <w:p w:rsidR="0025001E" w:rsidRDefault="0025001E" w:rsidP="0025001E">
      <w:pPr>
        <w:ind w:left="720"/>
      </w:pPr>
      <w:r>
        <w:t>… traditional silvicultural concepts and measures designed for wood production forests – uniformly distributed young trees of particular densities or basal areas – has no place in restoration of the old-tree-dominated dry forests that are optimal for producing the full array of ecosystem benefits …</w:t>
      </w:r>
    </w:p>
    <w:p w:rsidR="00EE1DAC" w:rsidRDefault="00EE1DAC" w:rsidP="0025001E"/>
    <w:p w:rsidR="0025001E" w:rsidRDefault="0025001E" w:rsidP="0025001E">
      <w:r w:rsidRPr="00124741">
        <w:t xml:space="preserve">Because the </w:t>
      </w:r>
      <w:r>
        <w:t xml:space="preserve">EA analysis </w:t>
      </w:r>
      <w:r w:rsidRPr="00124741">
        <w:t>fail</w:t>
      </w:r>
      <w:r>
        <w:t>s</w:t>
      </w:r>
      <w:r w:rsidRPr="00124741">
        <w:t xml:space="preserve"> to distinguish between large </w:t>
      </w:r>
      <w:r>
        <w:t xml:space="preserve">and old </w:t>
      </w:r>
      <w:r w:rsidRPr="00124741">
        <w:t xml:space="preserve">trees </w:t>
      </w:r>
      <w:r>
        <w:t xml:space="preserve">versus </w:t>
      </w:r>
      <w:r w:rsidRPr="00124741">
        <w:t>small</w:t>
      </w:r>
      <w:r>
        <w:t xml:space="preserve">-young </w:t>
      </w:r>
      <w:r w:rsidRPr="00124741">
        <w:t xml:space="preserve"> trees and fail</w:t>
      </w:r>
      <w:r>
        <w:t>s</w:t>
      </w:r>
      <w:r w:rsidRPr="00124741">
        <w:t xml:space="preserve"> to distinguish </w:t>
      </w:r>
      <w:r>
        <w:t>the differential water demands of heart</w:t>
      </w:r>
      <w:r w:rsidRPr="00124741">
        <w:t xml:space="preserve">wood </w:t>
      </w:r>
      <w:r>
        <w:t xml:space="preserve">versus </w:t>
      </w:r>
      <w:r w:rsidRPr="00124741">
        <w:t>sapwood</w:t>
      </w:r>
      <w:r>
        <w:t>. T</w:t>
      </w:r>
      <w:r w:rsidRPr="00124741">
        <w:t>he</w:t>
      </w:r>
      <w:r>
        <w:t xml:space="preserve"> EA analysis</w:t>
      </w:r>
      <w:r w:rsidRPr="00124741">
        <w:t xml:space="preserve"> </w:t>
      </w:r>
      <w:r>
        <w:t xml:space="preserve">likely: </w:t>
      </w:r>
    </w:p>
    <w:p w:rsidR="0025001E" w:rsidRDefault="0025001E" w:rsidP="0025001E">
      <w:pPr>
        <w:pStyle w:val="ListParagraph"/>
        <w:numPr>
          <w:ilvl w:val="0"/>
          <w:numId w:val="15"/>
        </w:numPr>
        <w:spacing w:after="200"/>
      </w:pPr>
      <w:r w:rsidRPr="00124741">
        <w:t xml:space="preserve">overestimated the </w:t>
      </w:r>
      <w:r>
        <w:t xml:space="preserve">projected </w:t>
      </w:r>
      <w:r w:rsidRPr="00124741">
        <w:t xml:space="preserve">mortality </w:t>
      </w:r>
      <w:r>
        <w:t xml:space="preserve">of large trees from competition, </w:t>
      </w:r>
    </w:p>
    <w:p w:rsidR="0025001E" w:rsidRDefault="0025001E" w:rsidP="0025001E">
      <w:pPr>
        <w:pStyle w:val="ListParagraph"/>
        <w:numPr>
          <w:ilvl w:val="0"/>
          <w:numId w:val="15"/>
        </w:numPr>
        <w:spacing w:after="200"/>
      </w:pPr>
      <w:r w:rsidRPr="00124741">
        <w:t xml:space="preserve">overestimated the number of trees that need to </w:t>
      </w:r>
      <w:r>
        <w:t xml:space="preserve">be </w:t>
      </w:r>
      <w:r w:rsidRPr="00124741">
        <w:t>remove</w:t>
      </w:r>
      <w:r>
        <w:t>d</w:t>
      </w:r>
      <w:r w:rsidRPr="00124741">
        <w:t xml:space="preserve"> to increase the chances of survival of large and old trees</w:t>
      </w:r>
      <w:r>
        <w:t xml:space="preserve">, </w:t>
      </w:r>
    </w:p>
    <w:p w:rsidR="0025001E" w:rsidRDefault="0025001E" w:rsidP="0025001E">
      <w:pPr>
        <w:pStyle w:val="ListParagraph"/>
        <w:numPr>
          <w:ilvl w:val="0"/>
          <w:numId w:val="15"/>
        </w:numPr>
        <w:spacing w:after="200"/>
      </w:pPr>
      <w:r w:rsidRPr="00124741">
        <w:t xml:space="preserve">underestimated the ability to meet objectives by focusing on </w:t>
      </w:r>
      <w:r>
        <w:t>reducing the basa</w:t>
      </w:r>
      <w:r w:rsidRPr="00124741">
        <w:t>l area</w:t>
      </w:r>
      <w:r>
        <w:t xml:space="preserve"> of small trees, and </w:t>
      </w:r>
    </w:p>
    <w:p w:rsidR="0025001E" w:rsidRDefault="0025001E" w:rsidP="0025001E">
      <w:pPr>
        <w:pStyle w:val="ListParagraph"/>
        <w:numPr>
          <w:ilvl w:val="0"/>
          <w:numId w:val="15"/>
        </w:numPr>
        <w:spacing w:after="200"/>
      </w:pPr>
      <w:r>
        <w:t>miscalculated whether large trees need to be removed to substantially reduce competitive stress.</w:t>
      </w:r>
    </w:p>
    <w:p w:rsidR="0025001E" w:rsidRDefault="0025001E" w:rsidP="0025001E">
      <w:r>
        <w:t xml:space="preserve">Thinning down to 30% SDI is too aggressive. If the goal is to restore LOS, then more trees need to be retained so they can compete and interact and recruit abundant snags and dead wood that is </w:t>
      </w:r>
      <w:r w:rsidRPr="0004203C">
        <w:t>an essential component of LOS.</w:t>
      </w:r>
      <w:r>
        <w:t xml:space="preserve"> This should be readily apparent if the FS had a robust snag and green tree replacement strategy. </w:t>
      </w:r>
      <w:r w:rsidRPr="0004203C">
        <w:t xml:space="preserve">Old growth is </w:t>
      </w:r>
      <w:r>
        <w:t xml:space="preserve">defined by Interior Columbia Basin Ecosystem Management Project (ICBEMP) to include “… </w:t>
      </w:r>
      <w:r w:rsidRPr="0004203C">
        <w:t xml:space="preserve">Accumulations of large-size dead standing and fallen trees that are high relative to earlier stages. Decadence in the form of broken or deformed tops or bole and root decay.” USDA/USDI. ICBEMP SDEIS. Appendix 17a – Definitions of Old </w:t>
      </w:r>
      <w:r w:rsidRPr="0004203C">
        <w:lastRenderedPageBreak/>
        <w:t>Forest.</w:t>
      </w:r>
      <w:r>
        <w:t xml:space="preserve"> </w:t>
      </w:r>
      <w:hyperlink r:id="rId44" w:history="1">
        <w:r w:rsidRPr="00C6188E">
          <w:rPr>
            <w:rStyle w:val="Hyperlink"/>
          </w:rPr>
          <w:t>https://web.archive.org/web/20161221104651/http://www.icbemp.gov/pdfs/sdeis/volume2/appendix17a.pdf</w:t>
        </w:r>
      </w:hyperlink>
      <w:r>
        <w:t xml:space="preserve">. </w:t>
      </w:r>
      <w:r w:rsidRPr="00A300C7">
        <w:t xml:space="preserve">We are concerned that the </w:t>
      </w:r>
      <w:r>
        <w:t xml:space="preserve">agencies’ </w:t>
      </w:r>
      <w:r w:rsidRPr="00A300C7">
        <w:t xml:space="preserve">stocking guides were created and intended to be used as a tool to </w:t>
      </w:r>
      <w:r w:rsidRPr="00A300C7">
        <w:rPr>
          <w:u w:val="single"/>
        </w:rPr>
        <w:t>avoid mortality</w:t>
      </w:r>
      <w:r w:rsidRPr="00A300C7">
        <w:t xml:space="preserve"> which is clearly inconsistent with ecosystem management. (“To preclude serious tree mortality from mountain pine beetle, western dwarf mistletoe and perhaps western pine beetle, stand densities should be maintained below the upper limit of the management zone” Powell 1999, </w:t>
      </w:r>
      <w:hyperlink r:id="rId45" w:history="1">
        <w:r w:rsidRPr="00A300C7">
          <w:rPr>
            <w:rStyle w:val="Hyperlink"/>
          </w:rPr>
          <w:t>https://fs.usda.gov/Internet/FSE_DOCUMENTS/fsbdev7_016034.pdf</w:t>
        </w:r>
      </w:hyperlink>
      <w:r w:rsidRPr="00A300C7">
        <w:t xml:space="preserve">) Healthy forests </w:t>
      </w:r>
      <w:r w:rsidRPr="00A300C7">
        <w:rPr>
          <w:u w:val="single"/>
        </w:rPr>
        <w:t>require</w:t>
      </w:r>
      <w:r w:rsidRPr="00A300C7">
        <w:t xml:space="preserve"> dead trees, sometimes in abundance, in order to meet the needs of diverse wildlife and provide full suite of ecosystem functions.</w:t>
      </w:r>
      <w:r>
        <w:t xml:space="preserve"> Rose et al. 2001. Decaying Wood in Pacific Northwest Forests: Concepts and Tools for Habitat Management, Chapter 24 in Wildlife-Habitat Relationships in Oregon and Washington (Johnson, D. H. and T. A. O’Neil. OSU Press. 2001) </w:t>
      </w:r>
      <w:hyperlink r:id="rId46" w:history="1">
        <w:r w:rsidRPr="009F4627">
          <w:rPr>
            <w:rStyle w:val="Hyperlink"/>
          </w:rPr>
          <w:t>http://web.archive.org/web/20060708035905/http://www.nwhi.org/inc/data/GISdata/docs/chapter24.pdf</w:t>
        </w:r>
      </w:hyperlink>
      <w:r>
        <w:t xml:space="preserve">. Stand density index is a tool too often used by foresters who are managing forests under an agricultural model, trying to control and limit mortality, rather than managing on an ecosystem basis to work </w:t>
      </w:r>
      <w:r w:rsidRPr="0004203C">
        <w:rPr>
          <w:i/>
        </w:rPr>
        <w:t>with</w:t>
      </w:r>
      <w:r>
        <w:t xml:space="preserve"> natural mortality to develop complex, biodiverse forests. </w:t>
      </w:r>
    </w:p>
    <w:p w:rsidR="00EE1DAC" w:rsidRDefault="00EE1DAC" w:rsidP="0025001E"/>
    <w:p w:rsidR="0025001E" w:rsidRDefault="0025001E" w:rsidP="0025001E">
      <w:r>
        <w:t>The EA (p 22) says that “Effects were assessed in 2045.” It is inappropriate to address effects at a point in time, instead of disclosing and considering effects over time. For instance, logging large trees will cause a significant reduction in large snag habitat between 2020 and 2045, but this adverse effect will not be revealed if the analysis only discloses forest conditions in 2045.</w:t>
      </w:r>
    </w:p>
    <w:p w:rsidR="00EE1DAC" w:rsidRDefault="00EE1DAC" w:rsidP="0025001E"/>
    <w:p w:rsidR="0025001E" w:rsidRPr="00352CEA" w:rsidRDefault="0025001E" w:rsidP="0025001E">
      <w:r>
        <w:t>EA (p 22) says “</w:t>
      </w:r>
      <w:r w:rsidRPr="00352CEA">
        <w:t>None of the scenarios simulated understory regeneration.” This is a huge problem because it hides the fact that aggressive thinning and removal of large canopy trees will increase light and resources available to stimulate the growth of surface and ladder fuels, especially in more productive sites.</w:t>
      </w:r>
      <w:r>
        <w:t xml:space="preserve"> The FS can’t complain about large shade-tolerant trees being ladder fuels if they don’t account for the fact that logging stimulates growth of hazardous ladder fuels. This is a concern in many forest types, but especially where lodgepole are present.</w:t>
      </w:r>
    </w:p>
    <w:p w:rsidR="0025001E" w:rsidRDefault="0025001E" w:rsidP="0025001E">
      <w:pPr>
        <w:pStyle w:val="Default"/>
        <w:rPr>
          <w:sz w:val="23"/>
          <w:szCs w:val="23"/>
        </w:rPr>
      </w:pPr>
    </w:p>
    <w:p w:rsidR="0025001E" w:rsidRPr="005B629D" w:rsidRDefault="0025001E" w:rsidP="005B629D">
      <w:r>
        <w:t xml:space="preserve">The NEPA analysis needs to disclose effects at relevant scales. Large trees will be removed at the during stand level manipulations (timber sales).  This is also a relevant scale at which wildlife make habitat selections. It makes no sense that the EA discloses effects on large trees at the landscape scale. Franklin, </w:t>
      </w:r>
      <w:proofErr w:type="spellStart"/>
      <w:r>
        <w:t>Seager</w:t>
      </w:r>
      <w:proofErr w:type="spellEnd"/>
      <w:r>
        <w:t xml:space="preserve"> &amp; Johnson review of the EA says “</w:t>
      </w:r>
      <w:r w:rsidRPr="009750D8">
        <w:t>We have significant concerns that the modeling results (EA 3.1.6) speak to the</w:t>
      </w:r>
      <w:r>
        <w:t xml:space="preserve"> </w:t>
      </w:r>
      <w:r w:rsidRPr="009750D8">
        <w:t>landscape level when the management action would be occurring at the stand or project</w:t>
      </w:r>
      <w:r>
        <w:t xml:space="preserve"> </w:t>
      </w:r>
      <w:r w:rsidRPr="009750D8">
        <w:t>level</w:t>
      </w:r>
      <w:r>
        <w:t>.” The NEPA analysis needs to disclose effects on large trees and snag habitat at the stand scape so it can be compared, for instance, to DecAID tolerance levels for wildlife associated with those LOS components.</w:t>
      </w:r>
    </w:p>
    <w:p w:rsidR="0025001E" w:rsidRDefault="0025001E" w:rsidP="0025001E">
      <w:pPr>
        <w:pStyle w:val="Heading2"/>
      </w:pPr>
      <w:bookmarkStart w:id="19" w:name="_Toc53483520"/>
      <w:r>
        <w:t>QUESTIONABLE ASSUMPTIONS USED IN ANALYSIS</w:t>
      </w:r>
      <w:bookmarkEnd w:id="19"/>
    </w:p>
    <w:p w:rsidR="0025001E" w:rsidRPr="00EE1DAC" w:rsidRDefault="0025001E" w:rsidP="0025001E">
      <w:r w:rsidRPr="00EE1DAC">
        <w:t xml:space="preserve">Why does the EA assume treatment of 110,000 acres per year instead of 34,000 acres per year (EA p 34)? All alternatives will rely more on natural processes than assumed in the analysis. </w:t>
      </w:r>
      <w:r w:rsidRPr="00EE1DAC">
        <w:lastRenderedPageBreak/>
        <w:t>Will removal of large trees allow the FS to ramp up logging? Will more roads need to be built? What are the effects of extra roads and extra logging on soil, water, weeds, and fish &amp; wildlife? The EA (pp 26-27) says “harvest levels are more influenced by factors including road systems, logging systems, capacity, budget and individual forest plan direction.” Why is the FS not applying reasonable and appropriate constraints on projected harvest levels?</w:t>
      </w:r>
    </w:p>
    <w:p w:rsidR="0025001E" w:rsidRDefault="0025001E" w:rsidP="0025001E">
      <w:pPr>
        <w:rPr>
          <w:sz w:val="23"/>
          <w:szCs w:val="23"/>
        </w:rPr>
      </w:pPr>
    </w:p>
    <w:p w:rsidR="0025001E" w:rsidRDefault="0025001E" w:rsidP="0025001E">
      <w:r>
        <w:t>The EA analysis failed to account for the loss of large trees and snags from t</w:t>
      </w:r>
      <w:r w:rsidRPr="00ED1698">
        <w:t>reating 110</w:t>
      </w:r>
      <w:r>
        <w:t>,000</w:t>
      </w:r>
      <w:r w:rsidRPr="00ED1698">
        <w:t xml:space="preserve"> acres/</w:t>
      </w:r>
      <w:proofErr w:type="spellStart"/>
      <w:r w:rsidRPr="00ED1698">
        <w:t>yr</w:t>
      </w:r>
      <w:proofErr w:type="spellEnd"/>
      <w:r w:rsidRPr="00ED1698">
        <w:t xml:space="preserve"> instead of 34</w:t>
      </w:r>
      <w:r>
        <w:t>,000</w:t>
      </w:r>
      <w:r w:rsidRPr="00ED1698">
        <w:t xml:space="preserve"> acres/</w:t>
      </w:r>
      <w:proofErr w:type="spellStart"/>
      <w:r w:rsidRPr="00ED1698">
        <w:t>yr</w:t>
      </w:r>
      <w:proofErr w:type="spellEnd"/>
      <w:r w:rsidRPr="00ED1698">
        <w:t xml:space="preserve"> </w:t>
      </w:r>
      <w:r>
        <w:t xml:space="preserve">which requires </w:t>
      </w:r>
      <w:r w:rsidRPr="00ED1698">
        <w:t>more roads and more large trees and snags lost as hazard trees. “Potential loss of snag and down log habitat as a result of high open road densities”</w:t>
      </w:r>
      <w:r>
        <w:t xml:space="preserve"> Gaines, William L.; Wales, Barbara C.; Suring, Lowell H.; Begley, James S.; Mellen-McLean, Kim; </w:t>
      </w:r>
      <w:proofErr w:type="spellStart"/>
      <w:r>
        <w:t>Mohoric</w:t>
      </w:r>
      <w:proofErr w:type="spellEnd"/>
      <w:r>
        <w:t xml:space="preserve">, </w:t>
      </w:r>
      <w:proofErr w:type="spellStart"/>
      <w:r>
        <w:t>Shawne</w:t>
      </w:r>
      <w:proofErr w:type="spellEnd"/>
      <w:r>
        <w:t xml:space="preserve">. 2017. Terrestrial species viability assessments for national forests in northeastern Washington. Gen. Tech. Rep. PNW-GTR-907. Portland, OR: U.S. Department of Agriculture, Forest Service, Pacific Northwest Research Station. 324 p.  </w:t>
      </w:r>
      <w:hyperlink r:id="rId47" w:history="1">
        <w:r w:rsidRPr="00B34C3A">
          <w:rPr>
            <w:rStyle w:val="Hyperlink"/>
          </w:rPr>
          <w:t>https://www.fs.fed.us/pnw/pubs/pnw_gtr907.pdf</w:t>
        </w:r>
      </w:hyperlink>
      <w:r>
        <w:t xml:space="preserve"> </w:t>
      </w:r>
    </w:p>
    <w:p w:rsidR="0025001E" w:rsidRDefault="0025001E" w:rsidP="0025001E">
      <w:pPr>
        <w:pStyle w:val="Default"/>
      </w:pPr>
    </w:p>
    <w:p w:rsidR="0025001E" w:rsidRDefault="0025001E" w:rsidP="0025001E">
      <w:r>
        <w:t>EA (p 26) says “</w:t>
      </w:r>
      <w:r w:rsidRPr="001F5460">
        <w:t>We assume that the vulnerability of eastern Oregon forests due to fire exclusion and past use has created homogenous forest conditions consisting of dense forests, less fire tolerant species, and reduced variability in vertical and horizontal canopy structure which creates uncharacteristic potential for fires with higher mortality levels in many areas throughout the landscape (</w:t>
      </w:r>
      <w:proofErr w:type="spellStart"/>
      <w:r w:rsidRPr="001F5460">
        <w:t>Littell</w:t>
      </w:r>
      <w:proofErr w:type="spellEnd"/>
      <w:r w:rsidRPr="001F5460">
        <w:t xml:space="preserve"> et al. 2018, Mote and </w:t>
      </w:r>
      <w:proofErr w:type="spellStart"/>
      <w:r w:rsidRPr="001F5460">
        <w:t>Salath</w:t>
      </w:r>
      <w:proofErr w:type="spellEnd"/>
      <w:r w:rsidRPr="001F5460">
        <w:t xml:space="preserve"> 2010).</w:t>
      </w:r>
      <w:r>
        <w:t xml:space="preserve">” This is an oversimplification for several reasons: </w:t>
      </w:r>
    </w:p>
    <w:p w:rsidR="0025001E" w:rsidRDefault="0025001E" w:rsidP="0025001E">
      <w:pPr>
        <w:pStyle w:val="ListParagraph"/>
        <w:numPr>
          <w:ilvl w:val="0"/>
          <w:numId w:val="9"/>
        </w:numPr>
        <w:spacing w:after="200"/>
      </w:pPr>
      <w:r>
        <w:t>Vast areas of eastern Oregon forests are natural mosaics of forest and non-forest (grassland, rangeland, rock and ice);</w:t>
      </w:r>
    </w:p>
    <w:p w:rsidR="0025001E" w:rsidRDefault="0025001E" w:rsidP="0025001E">
      <w:pPr>
        <w:pStyle w:val="ListParagraph"/>
        <w:numPr>
          <w:ilvl w:val="0"/>
          <w:numId w:val="9"/>
        </w:numPr>
        <w:spacing w:after="200"/>
      </w:pPr>
      <w:r>
        <w:t>Median canopy cover outside LOS in stands analyzed in the EA (p 37) is 46%. This condition is already moderately fire resilient. The EA predicts the ability to reduce canopy cover under all alternatives, including the no action alternative. Notably, the EA (p 37) says the proposed action only allows canopy to be reduced 0.2% more than the Eastside Screens;</w:t>
      </w:r>
    </w:p>
    <w:p w:rsidR="0025001E" w:rsidRDefault="0025001E" w:rsidP="0025001E">
      <w:pPr>
        <w:pStyle w:val="ListParagraph"/>
        <w:numPr>
          <w:ilvl w:val="0"/>
          <w:numId w:val="9"/>
        </w:numPr>
        <w:spacing w:after="200"/>
      </w:pPr>
      <w:r>
        <w:t xml:space="preserve">About 850,000 acres of eastern Oregon National Forests </w:t>
      </w:r>
      <w:r w:rsidRPr="00352CEA">
        <w:t>have been logged since 1995 (34,000 x 25, plu</w:t>
      </w:r>
      <w:r>
        <w:t xml:space="preserve">s many more acres before that). This is well over half of the estimated </w:t>
      </w:r>
      <w:r>
        <w:rPr>
          <w:sz w:val="23"/>
          <w:szCs w:val="23"/>
        </w:rPr>
        <w:t xml:space="preserve">1.3-1.5 million acres of non-LOS forest </w:t>
      </w:r>
      <w:r>
        <w:t>in the planning area (EA p 38). Another 850,000 acres can be treated in the next 25 years;</w:t>
      </w:r>
    </w:p>
    <w:p w:rsidR="0025001E" w:rsidRDefault="0025001E" w:rsidP="0025001E">
      <w:pPr>
        <w:pStyle w:val="ListParagraph"/>
        <w:numPr>
          <w:ilvl w:val="0"/>
          <w:numId w:val="9"/>
        </w:numPr>
        <w:spacing w:after="200"/>
      </w:pPr>
      <w:r>
        <w:t>M</w:t>
      </w:r>
      <w:r w:rsidRPr="00352CEA">
        <w:t>ore than a</w:t>
      </w:r>
      <w:r>
        <w:t xml:space="preserve"> million acres of eastern Oregon National Forests have been subject to fire, insects, and other natural mortality processes at various scales that help thin and </w:t>
      </w:r>
      <w:proofErr w:type="spellStart"/>
      <w:r>
        <w:t>dehomogenize</w:t>
      </w:r>
      <w:proofErr w:type="spellEnd"/>
      <w:r>
        <w:t>/diversify forests;</w:t>
      </w:r>
    </w:p>
    <w:p w:rsidR="0025001E" w:rsidRDefault="0025001E" w:rsidP="0025001E">
      <w:pPr>
        <w:pStyle w:val="ListParagraph"/>
        <w:numPr>
          <w:ilvl w:val="0"/>
          <w:numId w:val="9"/>
        </w:numPr>
        <w:spacing w:after="200"/>
      </w:pPr>
      <w:r>
        <w:t xml:space="preserve">Some eastern Oregon National Forests are intermixed with private lands. </w:t>
      </w:r>
    </w:p>
    <w:p w:rsidR="0025001E" w:rsidRDefault="0025001E" w:rsidP="0025001E">
      <w:r>
        <w:t>Viewed together, only a small subset of Eastern Oregon National Forest can be accurately described as “</w:t>
      </w:r>
      <w:r w:rsidRPr="001F5460">
        <w:t xml:space="preserve">homogenous forest conditions consisting of dense forests </w:t>
      </w:r>
      <w:r>
        <w:t xml:space="preserve">[having] </w:t>
      </w:r>
      <w:r w:rsidRPr="001F5460">
        <w:t>uncharacteristic potential for fir</w:t>
      </w:r>
      <w:r>
        <w:t xml:space="preserve">es with higher mortality levels.” Looking at aerial photos reveals that eastern Oregon forests are NOT homogenous. </w:t>
      </w:r>
    </w:p>
    <w:p w:rsidR="00EE1DAC" w:rsidRDefault="00EE1DAC" w:rsidP="0025001E"/>
    <w:p w:rsidR="0025001E" w:rsidRPr="00352CEA" w:rsidRDefault="0025001E" w:rsidP="0025001E">
      <w:r>
        <w:t>The draft EA (p 26) assumes that “</w:t>
      </w:r>
      <w:r w:rsidRPr="00352CEA">
        <w:t xml:space="preserve">treatments will be consistent with the Eastside Screens goal of maintaining the abundance and distribution of LOS forest.” This needs to be explained. </w:t>
      </w:r>
      <w:r>
        <w:t xml:space="preserve">How is this assumption reflected in the analysis and results? </w:t>
      </w:r>
      <w:r w:rsidRPr="00352CEA">
        <w:t>What does it mean to assume that LOS components will be maintained when the whole point of the amendment is to remove those very LOS components? This suggest magical thinking.</w:t>
      </w:r>
    </w:p>
    <w:p w:rsidR="00EE1DAC" w:rsidRDefault="00EE1DAC" w:rsidP="0025001E"/>
    <w:p w:rsidR="0025001E" w:rsidRDefault="0025001E" w:rsidP="0025001E">
      <w:r w:rsidRPr="00352CEA">
        <w:t xml:space="preserve">The NFMA planning </w:t>
      </w:r>
      <w:proofErr w:type="spellStart"/>
      <w:r w:rsidRPr="00352CEA">
        <w:t>regs</w:t>
      </w:r>
      <w:proofErr w:type="spellEnd"/>
      <w:r w:rsidRPr="00352CEA">
        <w:t xml:space="preserve"> require the FS to use monitoring to continuously test assumptions. 36</w:t>
      </w:r>
      <w:r>
        <w:t xml:space="preserve"> CFR 219.5(a)(3). The EA does not make clear whether or how that happened.</w:t>
      </w:r>
    </w:p>
    <w:p w:rsidR="0025001E" w:rsidRDefault="0025001E" w:rsidP="0025001E">
      <w:pPr>
        <w:pStyle w:val="Default"/>
      </w:pPr>
    </w:p>
    <w:p w:rsidR="0025001E" w:rsidRDefault="0025001E" w:rsidP="0025001E">
      <w:r>
        <w:t xml:space="preserve">The EA (p 27) relies on a generalization that divides tree species into two categories: shade-tolerant/fire intolerant vs shade-intolerant/fire tolerant. The goal is to shift species composition from the former to the latter. Inexplicably, the FS then proposes to lump Douglas fir in with the fire intolerant species and allow removal of 21-30” Douglas fir, even though Douglas fir are both shade intolerant and fire tolerant.  The Fire Effects Information System says about Rocky Mountain Douglas fir </w:t>
      </w:r>
    </w:p>
    <w:p w:rsidR="0025001E" w:rsidRDefault="0025001E" w:rsidP="0025001E">
      <w:pPr>
        <w:ind w:left="720"/>
      </w:pPr>
      <w:r>
        <w:t xml:space="preserve">FIRE ECOLOGY … </w:t>
      </w:r>
      <w:r w:rsidRPr="00352CEA">
        <w:t>Trees develop fire-resistant bark in about 40 years</w:t>
      </w:r>
      <w:r>
        <w:t xml:space="preserve">. … </w:t>
      </w:r>
      <w:r w:rsidRPr="00352CEA">
        <w:t>Mature trees can survive moderately severe surface fires because the lower bole is covered by thick, corky bark that insulates the cambium from heat damage [1,3,88]. Fire scars are characterized by resin deposits that may increase the size of the scar in subsequent fires [44]. Rocky Mountain Douglas-fir usually forms obvious fire scars and can survive several centuries after injury, making the history of understory fire easily studied [19].</w:t>
      </w:r>
      <w:r>
        <w:t xml:space="preserve"> … </w:t>
      </w:r>
      <w:r w:rsidRPr="00352CEA">
        <w:t xml:space="preserve">Mature Rocky Mountain Douglas-fir is generally more fire resistant than spruces, true firs, lodgepole pine, western hemlock, western </w:t>
      </w:r>
      <w:proofErr w:type="spellStart"/>
      <w:r w:rsidRPr="00352CEA">
        <w:t>redcedar</w:t>
      </w:r>
      <w:proofErr w:type="spellEnd"/>
      <w:r w:rsidRPr="00352CEA">
        <w:t>, and western white pine and slightly less fire resistant than ponderosa pine and western larch [107,265].</w:t>
      </w:r>
      <w:r>
        <w:t xml:space="preserve"> … </w:t>
      </w:r>
    </w:p>
    <w:p w:rsidR="0025001E" w:rsidRDefault="0025001E" w:rsidP="0025001E">
      <w:pPr>
        <w:ind w:left="720"/>
      </w:pPr>
      <w:r>
        <w:t xml:space="preserve">FIRE EFFECTS … </w:t>
      </w:r>
      <w:r w:rsidRPr="00352CEA">
        <w:t>Chance of survival generally increases with tree size [4,107]. Because larger trees have thicker bark and larger crowns, they can withstand proportionally greater bole and crown damage than small trees.</w:t>
      </w:r>
      <w:r>
        <w:t xml:space="preserve"> … </w:t>
      </w:r>
      <w:r w:rsidRPr="00352CEA">
        <w:t>In the Yellowstone fires of 1988 Rocky Mountain Douglas-fir types had little stand replacing fire even though many fires started.</w:t>
      </w:r>
    </w:p>
    <w:p w:rsidR="0025001E" w:rsidRDefault="0025001E" w:rsidP="0025001E">
      <w:r w:rsidRPr="00352CEA">
        <w:t xml:space="preserve">Steinberg, Peter D. 2002. </w:t>
      </w:r>
      <w:proofErr w:type="spellStart"/>
      <w:r w:rsidRPr="008A7051">
        <w:rPr>
          <w:i/>
        </w:rPr>
        <w:t>Pseudotsuga</w:t>
      </w:r>
      <w:proofErr w:type="spellEnd"/>
      <w:r w:rsidRPr="008A7051">
        <w:rPr>
          <w:i/>
        </w:rPr>
        <w:t xml:space="preserve"> </w:t>
      </w:r>
      <w:proofErr w:type="spellStart"/>
      <w:r w:rsidRPr="008A7051">
        <w:rPr>
          <w:i/>
        </w:rPr>
        <w:t>menziesii</w:t>
      </w:r>
      <w:proofErr w:type="spellEnd"/>
      <w:r w:rsidRPr="008A7051">
        <w:rPr>
          <w:i/>
        </w:rPr>
        <w:t xml:space="preserve"> var. </w:t>
      </w:r>
      <w:proofErr w:type="spellStart"/>
      <w:r w:rsidRPr="008A7051">
        <w:rPr>
          <w:i/>
        </w:rPr>
        <w:t>glauca</w:t>
      </w:r>
      <w:proofErr w:type="spellEnd"/>
      <w:r w:rsidRPr="00352CEA">
        <w:t xml:space="preserve">. In: Fire Effects Information System, [Online]. U.S. Department of Agriculture, Forest Service, Rocky Mountain Research Station, Fire Sciences Laboratory (Producer). </w:t>
      </w:r>
      <w:hyperlink r:id="rId48" w:anchor="FIRE%20ECOLOGY" w:history="1">
        <w:r w:rsidRPr="00235B0D">
          <w:rPr>
            <w:rStyle w:val="Hyperlink"/>
          </w:rPr>
          <w:t>https://www.fs.fed.us/database/feis/plants/tree/psemeng/all.html#FIRE%20ECOLOGY</w:t>
        </w:r>
      </w:hyperlink>
      <w:r>
        <w:t xml:space="preserve">. In a study in the Blue Mountains, fuel reduction goals were met by thinning Rocky Mountain Douglas fir and Ponderosa pine 4-10” dbh. </w:t>
      </w:r>
      <w:r w:rsidRPr="00352CEA">
        <w:t xml:space="preserve">Hauser, A. Scott, comp. 2008. Research Project Summary: Changes in stand structure and composition after thinning and burning in low-elevation, dry ponderosa pine and Douglas-fir forests of northeastern Oregon. In: Fire Effects Information System, [Online]. U.S. Department of Agriculture, Forest Service, Rocky Mountain Research Station, Fire Sciences Laboratory (Producer). </w:t>
      </w:r>
      <w:hyperlink r:id="rId49" w:history="1">
        <w:r w:rsidRPr="00235B0D">
          <w:rPr>
            <w:rStyle w:val="Hyperlink"/>
          </w:rPr>
          <w:t>https://www.fs.fed.us/database/feis/research_project_summaries/Youngblood06/all.html</w:t>
        </w:r>
      </w:hyperlink>
      <w:r>
        <w:t xml:space="preserve">. </w:t>
      </w:r>
    </w:p>
    <w:p w:rsidR="0025001E" w:rsidRDefault="0025001E" w:rsidP="0025001E">
      <w:r>
        <w:lastRenderedPageBreak/>
        <w:t xml:space="preserve">Douglas fir are also provide important wildlife values for big game, small mammals (that are important to a variety of predators), and a wide variety of birds. Douglas fir also host mistletoe brooms and various forest insects that provide important wildlife values. </w:t>
      </w:r>
      <w:hyperlink r:id="rId50" w:anchor="IMPORTANCE%20TO%20LIVESTOCK%20AND%20WILDLIFE" w:history="1">
        <w:r w:rsidRPr="00235B0D">
          <w:rPr>
            <w:rStyle w:val="Hyperlink"/>
          </w:rPr>
          <w:t>https://www.fs.fed.us/database/feis/plants/tree/psemeng/all.html#IMPORTANCE%20TO%20LIVESTOCK%20AND%20WILDLIFE</w:t>
        </w:r>
      </w:hyperlink>
      <w:r>
        <w:t xml:space="preserve">. </w:t>
      </w:r>
    </w:p>
    <w:p w:rsidR="00EE1DAC" w:rsidRDefault="00EE1DAC" w:rsidP="0025001E"/>
    <w:p w:rsidR="0025001E" w:rsidRDefault="0025001E" w:rsidP="0025001E">
      <w:r>
        <w:t xml:space="preserve">EA (p 32) says that old Douglas fir have declined 14% which indicates a compelling need to recruit more </w:t>
      </w:r>
      <w:r w:rsidRPr="00B21C5E">
        <w:rPr>
          <w:i/>
        </w:rPr>
        <w:t>large-young</w:t>
      </w:r>
      <w:r>
        <w:t xml:space="preserve"> Douglas fir into the cohort of </w:t>
      </w:r>
      <w:r w:rsidRPr="00B21C5E">
        <w:rPr>
          <w:i/>
        </w:rPr>
        <w:t>large-old</w:t>
      </w:r>
      <w:r>
        <w:t xml:space="preserve"> Douglas fir. This strongly counsels against amending the Screens to allow removal of 21-30” Douglas fir. </w:t>
      </w:r>
    </w:p>
    <w:p w:rsidR="0025001E" w:rsidRDefault="0025001E" w:rsidP="0025001E">
      <w:r>
        <w:t>The FS analysis needs to reflect the fact that the proposed action removes large numbers of fire tolerant species. The NEPA analysis should also consider reasonable alternatives that continue to protect large 21” dbh Douglas fir.</w:t>
      </w:r>
    </w:p>
    <w:p w:rsidR="0025001E" w:rsidRDefault="0025001E" w:rsidP="0025001E">
      <w:pPr>
        <w:pStyle w:val="Heading2"/>
      </w:pPr>
      <w:bookmarkStart w:id="20" w:name="_Toc53483521"/>
      <w:r>
        <w:t>AFFECTED ENVIRONMENT</w:t>
      </w:r>
      <w:bookmarkEnd w:id="20"/>
    </w:p>
    <w:p w:rsidR="0025001E" w:rsidRDefault="0025001E" w:rsidP="0025001E">
      <w:r>
        <w:t xml:space="preserve">The EA section describing the affected environment fails to provide some highly relevant information such as detailed information on the </w:t>
      </w:r>
      <w:r w:rsidR="005B629D">
        <w:t xml:space="preserve">existing </w:t>
      </w:r>
      <w:r>
        <w:t>shortage of large trees and snags.</w:t>
      </w:r>
      <w:r w:rsidR="005B629D">
        <w:t xml:space="preserve"> Since this proposed plan amendment will make a bad situation worse in terms of large trees and large snags, we first need to take a hard look at the bad situation with respect to the shortage of large trees and large snags and the ecological consequences of that.</w:t>
      </w:r>
    </w:p>
    <w:p w:rsidR="00D85C34" w:rsidRDefault="00D85C34" w:rsidP="0025001E"/>
    <w:p w:rsidR="00D85C34" w:rsidRDefault="00D85C34" w:rsidP="0025001E">
      <w:r>
        <w:t xml:space="preserve">The EA says there is an </w:t>
      </w:r>
      <w:r w:rsidRPr="009A18CB">
        <w:t xml:space="preserve">average of about 6 trees per acre </w:t>
      </w:r>
      <w:r>
        <w:t xml:space="preserve">&gt;21” dbh </w:t>
      </w:r>
      <w:r w:rsidRPr="009A18CB">
        <w:t>within the analysis area</w:t>
      </w:r>
      <w:r>
        <w:t xml:space="preserve">. Averaging large trees across such a large area is not very informative. Many acres have no large trees at all and some areas have many large trees. To make the analysis more informative and more relevant to wildlife viability indicators,  the effects analysis must compare alternatives by displaying the distribution of large trees as histograms showing the number of acres having different abundance of large trees/acre under the different alternatives (highlighting the effects of large tree removal on non-LOS forests that are the subject of this amendment). This can presumably be done using FIA data that the FS is already using for the EA analysis. </w:t>
      </w:r>
    </w:p>
    <w:p w:rsidR="0025001E" w:rsidRDefault="0025001E" w:rsidP="0025001E">
      <w:pPr>
        <w:pStyle w:val="Heading2"/>
      </w:pPr>
      <w:bookmarkStart w:id="21" w:name="_Toc53483522"/>
      <w:r>
        <w:t>ENVIRONMENTAL EFFECTS</w:t>
      </w:r>
      <w:bookmarkEnd w:id="21"/>
    </w:p>
    <w:p w:rsidR="0025001E" w:rsidRDefault="0025001E" w:rsidP="0025001E">
      <w:r>
        <w:t>The EA (p 35) says the proposed action is better because “</w:t>
      </w:r>
      <w:r w:rsidRPr="00BC1E9B">
        <w:t>species preference could be implemented more fully</w:t>
      </w:r>
      <w:r>
        <w:t xml:space="preserve">.” However, the magnitude of this gain is tiny. The EA (p 35) shows that amending the screens to allow removal of large trees would have very modest effects on species composition, yielding only a 1.5% difference between the proposed action and existing management. This miniscule gain in species composition comes at a great cost in terms of trade-offs against other goals, such as functional surrogates for old trees, carbon storage, large snags, and public trust. </w:t>
      </w:r>
    </w:p>
    <w:p w:rsidR="00EE1DAC" w:rsidRDefault="00EE1DAC" w:rsidP="0025001E"/>
    <w:p w:rsidR="0025001E" w:rsidRDefault="0025001E" w:rsidP="0025001E">
      <w:r>
        <w:t xml:space="preserve">The NEPA analysis needs to focus on effects that truly distinguish the different alternatives. For instance, the EA tends to describe the no action alternative in negative terms that actually apply equally to all alternatives.  The EA (p 35) analysis of the existing management alternative says </w:t>
      </w:r>
      <w:r>
        <w:lastRenderedPageBreak/>
        <w:t>“…</w:t>
      </w:r>
      <w:r w:rsidRPr="00360F19">
        <w:t>shade tolerant species establish at a higher rate and grow faster. Thinni</w:t>
      </w:r>
      <w:r>
        <w:t xml:space="preserve">ng from wildfire and management </w:t>
      </w:r>
      <w:r w:rsidRPr="00360F19">
        <w:t>will continue to lag behind the rate of growth and regeneration. In dry and moist forests, this will lead to forests more vulnerable to uncharacteristic disturbance mortality.</w:t>
      </w:r>
      <w:r>
        <w:t>” This sounds bad in light of the purpose and need, but this pattern of vegetation succession is not unique to the existing management regime. The rate of establishment and growth of shade-tolerant trees is common to all alternatives, and the EA needs to make that clear.</w:t>
      </w:r>
    </w:p>
    <w:p w:rsidR="00EE1DAC" w:rsidRDefault="00EE1DAC" w:rsidP="0025001E"/>
    <w:p w:rsidR="0025001E" w:rsidRDefault="0025001E" w:rsidP="0025001E">
      <w:r>
        <w:t>Furthermore, this EA (p 35) statement that succession of shade-tolerant trees will outpace management is misleading because it has little to do with large tree removal. Establishment and growth of shade-tolerant species is comprised of virtually all small trees that the FS has great discretion to manage under the no action alternative. The diameter limits in the Eastside Screens are not an impediment to achieving FS management objectives related to succession of small shade-tolerant trees. The FS can improve both species composition and vulnerability to disturbance by removing the small shade-tolerant trees before they grow to 21” dbh. The problem is lack of funding from Congress, not lack of authority to remove large trees.</w:t>
      </w:r>
    </w:p>
    <w:p w:rsidR="00EE1DAC" w:rsidRDefault="00EE1DAC" w:rsidP="0025001E"/>
    <w:p w:rsidR="0025001E" w:rsidRDefault="0025001E" w:rsidP="0025001E">
      <w:r>
        <w:t>The EA analysis of LOS structure also fails to show any distinguishing effects between alternatives. LOS structure continues to increase under all alternatives, including no action/current management.</w:t>
      </w:r>
    </w:p>
    <w:p w:rsidR="00EE1DAC" w:rsidRDefault="00EE1DAC" w:rsidP="0025001E"/>
    <w:p w:rsidR="0025001E" w:rsidRPr="002502B6" w:rsidRDefault="0025001E" w:rsidP="0025001E">
      <w:pPr>
        <w:rPr>
          <w:sz w:val="23"/>
          <w:szCs w:val="23"/>
        </w:rPr>
      </w:pPr>
      <w:r>
        <w:t>The EA analysis of effects on “</w:t>
      </w:r>
      <w:r w:rsidRPr="000F6FE7">
        <w:t>Open Conditions in Dry and Moist Forests Outside of LOS</w:t>
      </w:r>
      <w:r>
        <w:t>” fails to quantify effects. The introduction to the analysis says that the FS can reduce canopy cover almost exactly the same under all alternatives, (only 0.2% difference), but then the EA says “</w:t>
      </w:r>
      <w:r>
        <w:rPr>
          <w:sz w:val="23"/>
          <w:szCs w:val="23"/>
        </w:rPr>
        <w:t>Mid seral open forest structures will decrease at a slightly lower rate compared to the Current Management Alternative.” The EA is misleading because it discloses effects on the introduction by percent canopy cover averaged over some large area, then shifts to some other vague unquantified measure in the detailed analysis. The EA (p 38) fails to make clear that the FS is mostly managing small trees (&lt;21” dbh) under all alternatives, and their ability to make substantial gains in open forest outside LOS is does not require logging large trees.</w:t>
      </w:r>
    </w:p>
    <w:p w:rsidR="0025001E" w:rsidRDefault="0025001E" w:rsidP="0025001E">
      <w:pPr>
        <w:pStyle w:val="Heading2"/>
      </w:pPr>
      <w:bookmarkStart w:id="22" w:name="_Toc53483523"/>
      <w:r>
        <w:t>ENVIRONMENTAL EFFECTS – LARGE TREES, OLD TREES</w:t>
      </w:r>
      <w:bookmarkEnd w:id="22"/>
    </w:p>
    <w:p w:rsidR="0025001E" w:rsidRDefault="0025001E" w:rsidP="0025001E">
      <w:r>
        <w:t>The plan amendment only applies outside LOS, by definition, where large trees are NOT common. This raises serious concerns because where large trees are not common is precisely where retaining large trees is most important. The effects analysis needs to fully and accurately disclose the disproportionate adverse ecological effects of removing large trees where they are needed most. The EA makes no compelling showing that achieving a 0.2% improvement in canopy reduction and resilience (EA p 37) is more important than retaining large trees precisely where they are in short supply.</w:t>
      </w:r>
    </w:p>
    <w:p w:rsidR="00EE1DAC" w:rsidRDefault="00EE1DAC" w:rsidP="0025001E"/>
    <w:p w:rsidR="0025001E" w:rsidRDefault="0025001E" w:rsidP="0025001E">
      <w:r>
        <w:t xml:space="preserve">EA (p 39) admits that current management will result in conservation of more large trees in our eastside National Forest, while amending the Screens will result in 3.4% fewer large trees. </w:t>
      </w:r>
      <w:r>
        <w:lastRenderedPageBreak/>
        <w:t xml:space="preserve">Again, conservation and restoration of LOS components like large trees is THE key objective of the Eastside Screens. The EA analysis shows that amending the screens will conflict with that goal, while retaining the existing diameter limit in the screens will better meet that objective.  The purpose and need of this proposed amendment is best met by retaining current management. </w:t>
      </w:r>
    </w:p>
    <w:p w:rsidR="00EE1DAC" w:rsidRDefault="00EE1DAC" w:rsidP="0025001E"/>
    <w:p w:rsidR="0025001E" w:rsidRPr="00A90AB3" w:rsidRDefault="0025001E" w:rsidP="0025001E">
      <w:r>
        <w:t xml:space="preserve">Some confusion arises in the effects analysis because the FS is proposing to redefine large tree under some alternatives. The EA does not say what definition of large tree they are using in the effects analysis. Does it include all trees larger than 21” dbh, or does it exclude grand fir, white fir, and Douglas fir 21-30” dbh? Does it use the same evaluation criteria for all alternatives? The forest ecology literature often uses 20” dbh (or 51 cm dbh) to define large trees, not 21” dbh. Would it makes sense to disclose effects using those ecological criteria instead of the arbitrary number adopted in the screens? When the FS reports 3.4% fewer large trees per acre, is that result spread across all acres, or just treated acres? Does the analysis assume treatment of 34,000 acres/year, or 110,000 acres/year? The FS should report the absolute number and distribution of large trees spared by the existing screens and provide a graphic showing the effects on large trees over time. </w:t>
      </w:r>
    </w:p>
    <w:p w:rsidR="00EE1DAC" w:rsidRDefault="00EE1DAC" w:rsidP="0025001E"/>
    <w:p w:rsidR="0025001E" w:rsidRDefault="0025001E" w:rsidP="0025001E">
      <w:r>
        <w:t>The EA analysis of the no action alternative fails to recognize that the FS has the authority under the existing screens to protect old trees, regardless of size, and the ability to reduce competitive stress on legacy trees by creating snags from nearby large shade-tolerant trees, AND the FS uses that authority in some projects. The EA needs to disclose its assumptions, including the erroneous assumption that old trees &lt;21” dbh would be removed under the no action alternative.</w:t>
      </w:r>
    </w:p>
    <w:p w:rsidR="00EE1DAC" w:rsidRDefault="00EE1DAC" w:rsidP="0025001E"/>
    <w:p w:rsidR="0025001E" w:rsidRDefault="0025001E" w:rsidP="0025001E">
      <w:r>
        <w:t xml:space="preserve">The EA analysis of effects to old trees needs to be reconsidered in light of the review from Franklin, </w:t>
      </w:r>
      <w:proofErr w:type="spellStart"/>
      <w:r>
        <w:t>Seager</w:t>
      </w:r>
      <w:proofErr w:type="spellEnd"/>
      <w:r>
        <w:t xml:space="preserve">, and Johnson suggesting that the FS may be over-estimating tree mortality from crowding in old forests. Stand density indicators used by foresters are designed for use in stands dominated by relatively young trees. Those tools are not appropriate in stands of large and old trees. As explained by Franklin, </w:t>
      </w:r>
      <w:proofErr w:type="spellStart"/>
      <w:r>
        <w:t>Seager</w:t>
      </w:r>
      <w:proofErr w:type="spellEnd"/>
      <w:r>
        <w:t xml:space="preserve"> &amp; Johnson in their review of this EA:</w:t>
      </w:r>
    </w:p>
    <w:p w:rsidR="0025001E" w:rsidRDefault="0025001E" w:rsidP="0025001E">
      <w:pPr>
        <w:ind w:left="720"/>
      </w:pPr>
      <w:r>
        <w:t>In no case should the stand density indices developed for managed stands be used to judge conditions in old tree dominated stands. The stand density indices used in managed stands composed largely of younger trees are not appropriate to judge competitive conditions in stands of old trees, in which the basal areas are largely composed of heartwood rather than sapwood.</w:t>
      </w:r>
    </w:p>
    <w:p w:rsidR="0025001E" w:rsidRDefault="0025001E" w:rsidP="0025001E">
      <w:pPr>
        <w:ind w:left="720"/>
      </w:pPr>
      <w:r>
        <w:t>… traditional silvicultural concepts and measures designed for wood production forests – uniformly distributed young trees of particular densities or basal areas – has no place in restoration of the old-tree-dominated dry forests that are optimal for producing the full array of ecosystem benefits …</w:t>
      </w:r>
    </w:p>
    <w:p w:rsidR="00EE1DAC" w:rsidRDefault="00EE1DAC" w:rsidP="0025001E"/>
    <w:p w:rsidR="0025001E" w:rsidRDefault="0025001E" w:rsidP="0025001E">
      <w:r>
        <w:t>T</w:t>
      </w:r>
      <w:r w:rsidRPr="00124741">
        <w:t xml:space="preserve">he </w:t>
      </w:r>
      <w:r>
        <w:t xml:space="preserve">EA analysis </w:t>
      </w:r>
      <w:r w:rsidRPr="00124741">
        <w:t>fail</w:t>
      </w:r>
      <w:r>
        <w:t>s</w:t>
      </w:r>
      <w:r w:rsidRPr="00124741">
        <w:t xml:space="preserve"> to </w:t>
      </w:r>
      <w:r>
        <w:t xml:space="preserve">clearly </w:t>
      </w:r>
      <w:r w:rsidRPr="00124741">
        <w:t xml:space="preserve">distinguish between </w:t>
      </w:r>
      <w:r>
        <w:t xml:space="preserve">the competitive stress caused by </w:t>
      </w:r>
      <w:r w:rsidRPr="00124741">
        <w:t xml:space="preserve">large </w:t>
      </w:r>
      <w:r>
        <w:t xml:space="preserve">and old </w:t>
      </w:r>
      <w:r w:rsidRPr="00124741">
        <w:t xml:space="preserve">trees </w:t>
      </w:r>
      <w:r>
        <w:t xml:space="preserve">versus </w:t>
      </w:r>
      <w:r w:rsidRPr="00124741">
        <w:t>small</w:t>
      </w:r>
      <w:r>
        <w:t xml:space="preserve">-young </w:t>
      </w:r>
      <w:r w:rsidRPr="00124741">
        <w:t xml:space="preserve"> trees and fail</w:t>
      </w:r>
      <w:r>
        <w:t>s</w:t>
      </w:r>
      <w:r w:rsidRPr="00124741">
        <w:t xml:space="preserve"> to distinguish </w:t>
      </w:r>
      <w:r>
        <w:t xml:space="preserve">the differential water demands of </w:t>
      </w:r>
      <w:r>
        <w:lastRenderedPageBreak/>
        <w:t>heart</w:t>
      </w:r>
      <w:r w:rsidRPr="00124741">
        <w:t xml:space="preserve">wood </w:t>
      </w:r>
      <w:r>
        <w:t xml:space="preserve">versus </w:t>
      </w:r>
      <w:r w:rsidRPr="00124741">
        <w:t>sapwood</w:t>
      </w:r>
      <w:r>
        <w:t>. T</w:t>
      </w:r>
      <w:r w:rsidRPr="00124741">
        <w:t>he</w:t>
      </w:r>
      <w:r>
        <w:t xml:space="preserve"> EA analysis</w:t>
      </w:r>
      <w:r w:rsidRPr="00124741">
        <w:t xml:space="preserve"> </w:t>
      </w:r>
      <w:r>
        <w:t xml:space="preserve">likely </w:t>
      </w:r>
      <w:r w:rsidRPr="00124741">
        <w:t xml:space="preserve">overestimated the </w:t>
      </w:r>
      <w:r>
        <w:t xml:space="preserve">projected </w:t>
      </w:r>
      <w:r w:rsidRPr="00124741">
        <w:t xml:space="preserve">mortality </w:t>
      </w:r>
      <w:r>
        <w:t xml:space="preserve">of large trees from competition, </w:t>
      </w:r>
      <w:r w:rsidRPr="00124741">
        <w:t xml:space="preserve">overestimated the number of trees that need to </w:t>
      </w:r>
      <w:r>
        <w:t xml:space="preserve">be </w:t>
      </w:r>
      <w:r w:rsidRPr="00124741">
        <w:t>remove</w:t>
      </w:r>
      <w:r>
        <w:t>d</w:t>
      </w:r>
      <w:r w:rsidRPr="00124741">
        <w:t xml:space="preserve"> to increase the chances of survival of large and old trees</w:t>
      </w:r>
      <w:r>
        <w:t xml:space="preserve">, </w:t>
      </w:r>
      <w:r w:rsidRPr="00124741">
        <w:t xml:space="preserve">underestimated the ability to meet objectives by focusing on </w:t>
      </w:r>
      <w:r>
        <w:t>reducing the basa</w:t>
      </w:r>
      <w:r w:rsidRPr="00124741">
        <w:t>l area</w:t>
      </w:r>
      <w:r>
        <w:t xml:space="preserve"> of small trees, and miscalculated whether large trees need to be removed to substantially reduce competitive stress.</w:t>
      </w:r>
    </w:p>
    <w:p w:rsidR="00EE1DAC" w:rsidRDefault="00EE1DAC" w:rsidP="0025001E"/>
    <w:p w:rsidR="0065505E" w:rsidRDefault="0025001E" w:rsidP="0025001E">
      <w:r>
        <w:t>The 25-year analysis window is too short to reveal the full effects of large tree removal. The EA analysis of effects to old trees also fails to carry the analysis far enough into the future to determine which alternative recruits more old trees from younger cohorts. Maintaining a healthy population of old trees (while simultaneously providing desired abundance of large snags over time) requires retaining large numbers of trees in cohorts less than 150 years old. Many of the trees in this critical at-risk recruitment cohort are large, “young” trees that would likely be removed under the proposed amendment. The analysis needs to clearly show the adverse effects of shrinking the population of trees nearing old age. See comments in the “snag habitat” section of these comments referencing the effects of the East Hills Project, Fremont Winema NF, which removed large trees across 79,000 acres and reduced snag habitat for more than 80 years.</w:t>
      </w:r>
    </w:p>
    <w:p w:rsidR="0025001E" w:rsidRDefault="0025001E" w:rsidP="0025001E">
      <w:pPr>
        <w:pStyle w:val="Heading2"/>
      </w:pPr>
      <w:bookmarkStart w:id="23" w:name="_Toc53483524"/>
      <w:r>
        <w:t>ENVIRONMENTAL EFFECTS – DISTURBANCE REGIMES</w:t>
      </w:r>
      <w:bookmarkEnd w:id="23"/>
    </w:p>
    <w:p w:rsidR="0025001E" w:rsidRPr="00A90AB3" w:rsidRDefault="0025001E" w:rsidP="0025001E">
      <w:r>
        <w:t>The analysis of effects to disturbance regimes implies that amending the screens to allow large tree removal would substantially improve the ability of the FS to reduce disturbance risks. This is misleading because the FS can already meet that objective by focusing on managing small trees (&lt;21” dbh) under existing management. The FS can reduce stand density, reduce competitive stress, increase tree vigor, and reduce fuels, ALL without logging large trees.</w:t>
      </w:r>
    </w:p>
    <w:p w:rsidR="00EE1DAC" w:rsidRDefault="00EE1DAC" w:rsidP="0025001E"/>
    <w:p w:rsidR="0025001E" w:rsidRDefault="0025001E" w:rsidP="0025001E">
      <w:r>
        <w:t>The EA admits that a more effective strategy to meet LOS restoration goals is to focus on small trees. EA (p 36) says “…</w:t>
      </w:r>
      <w:r w:rsidRPr="00BD62CF">
        <w:t>the current trend of increasing LOS forest will continue for all alternatives.</w:t>
      </w:r>
      <w:r>
        <w:t xml:space="preserve"> … </w:t>
      </w:r>
      <w:r w:rsidRPr="00BD62CF">
        <w:t>Closed canopies will continue to increase because tree growth and regeneration will outpace thinning effects from both wildfire and management. Future treatments would need to increase the removal of small and mid-sized trees from closed canopy forests in order to change this trajectory</w:t>
      </w:r>
      <w:r>
        <w:t>.”</w:t>
      </w:r>
    </w:p>
    <w:p w:rsidR="00EE1DAC" w:rsidRDefault="00EE1DAC" w:rsidP="0025001E"/>
    <w:p w:rsidR="0025001E" w:rsidRDefault="0025001E" w:rsidP="0025001E">
      <w:r>
        <w:t>The EA (p 33) also admits there are more trees 17-21” dbh in eastern Oregon than all of the large trees put together. Experts say that most restoration and fuel reduction goals can be met by removing trees 12” dbh and smaller, but if there is an urgent need to reduce stand density and basal area, the FS has a huge resource to work with without any need to amend the screens or remove large trees.</w:t>
      </w:r>
    </w:p>
    <w:p w:rsidR="0025001E" w:rsidRDefault="0025001E" w:rsidP="0025001E">
      <w:pPr>
        <w:pStyle w:val="Heading2"/>
      </w:pPr>
      <w:bookmarkStart w:id="24" w:name="_Toc53483525"/>
      <w:r>
        <w:t>SOCIAL AND ECONOMIC ANALYSIS</w:t>
      </w:r>
      <w:bookmarkEnd w:id="24"/>
    </w:p>
    <w:p w:rsidR="0025001E" w:rsidRDefault="0025001E" w:rsidP="0025001E">
      <w:r>
        <w:t>The EA analysis of social and economic analysis is incomplete and misleading.</w:t>
      </w:r>
    </w:p>
    <w:p w:rsidR="00EE1DAC" w:rsidRDefault="00EE1DAC" w:rsidP="0025001E"/>
    <w:p w:rsidR="0025001E" w:rsidRDefault="0025001E" w:rsidP="0025001E">
      <w:r>
        <w:lastRenderedPageBreak/>
        <w:t>The analysis fails to disclose the economic values of non-extractive ecosystem services (water, carbon, biodiversity, recreation, quality of life) vastly exceeds the economic value of extractive commodities (timber).</w:t>
      </w:r>
    </w:p>
    <w:p w:rsidR="00EE1DAC" w:rsidRDefault="00EE1DAC" w:rsidP="0025001E"/>
    <w:p w:rsidR="0025001E" w:rsidRDefault="0025001E" w:rsidP="0025001E">
      <w:r>
        <w:t>The analysis ails to disclose that commodity industries tend to boom and bust and cause social and economic instability ad hardship in local communities.</w:t>
      </w:r>
    </w:p>
    <w:p w:rsidR="00EE1DAC" w:rsidRDefault="00EE1DAC" w:rsidP="0025001E"/>
    <w:p w:rsidR="0025001E" w:rsidRDefault="0025001E" w:rsidP="0025001E">
      <w:r>
        <w:t xml:space="preserve">The EA fails to disclose the social and economic effects caused by the fact that increased logging of large trees will increase conflict and controversy. Increased conflict over large tree logging will pose an impediment to collaboration. It will also likely increase the likelihood that timber sales will be objected to and litigated, causing delay and uncertainty for the timber industry. </w:t>
      </w:r>
    </w:p>
    <w:p w:rsidR="00EE1DAC" w:rsidRDefault="00EE1DAC" w:rsidP="0025001E"/>
    <w:p w:rsidR="0025001E" w:rsidRDefault="0025001E" w:rsidP="0025001E">
      <w:r>
        <w:t>The analysis fails to take a hard look carbon emissions from large tree removal and its contribution to the cumulative atmospheric overload of greenhouse gases that is causing climate change, ocean acidification, and the environmental justice/equity/health implications of those effects.</w:t>
      </w:r>
    </w:p>
    <w:p w:rsidR="00EE1DAC" w:rsidRDefault="00EE1DAC" w:rsidP="0025001E"/>
    <w:p w:rsidR="0025001E" w:rsidRDefault="0025001E" w:rsidP="0025001E">
      <w:r>
        <w:t xml:space="preserve">The analysis of “forest products” fails to recognize that wood products are already </w:t>
      </w:r>
      <w:proofErr w:type="spellStart"/>
      <w:r>
        <w:t>under-priced</w:t>
      </w:r>
      <w:proofErr w:type="spellEnd"/>
      <w:r>
        <w:t xml:space="preserve"> and over-supplied due to “externalities.” Externalities are costs that are not included in the price of wood, so those costs are shifted from wood product producers and consumers to the general public who suffer the consequences of climate change (and other lost ecosystem services) without compensation from those who profit from logging related externalities. Ecosystem services, such as water, biodiversity, and carbon storage on the other hand are under-supplied because there is not a functioning market for these ecosystem services. The Forest Service failed to recognize that it is in a position to address these market imperfections by focusing on unmet demand for carbon storage and other ecosystem services instead of offering wood products that are already oversupplied.</w:t>
      </w:r>
    </w:p>
    <w:p w:rsidR="0025001E" w:rsidRDefault="0025001E" w:rsidP="0025001E">
      <w:pPr>
        <w:autoSpaceDE w:val="0"/>
        <w:ind w:left="720"/>
      </w:pPr>
      <w:r>
        <w:t xml:space="preserve">Land protection, both public and private, provides substantial ecological benefits by avoiding conversion of natural systems to intensive, developed uses. These benefits include carbon sequestration, watershed functioning, soil conservation, and the preservation of diverse habitat types (e.g., Daily 1997, </w:t>
      </w:r>
      <w:proofErr w:type="spellStart"/>
      <w:r>
        <w:t>Brauman</w:t>
      </w:r>
      <w:proofErr w:type="spellEnd"/>
      <w:r>
        <w:t xml:space="preserve"> et al. 2007, Kumar 2012, Watson et al. 2014). Land protection also solves a key market failure: private markets tend to underprovide socially beneficial land uses such as natural forests, agricultural lands, or managed timberlands. The reason for this failure is that many of the benefits of these lands go to the public in general, not individual landowners. When private values and market transactions determine land uses, less land will be devoted to socially beneficial uses than if citizens could collectively determine use on the basis of social values (e.g., </w:t>
      </w:r>
      <w:proofErr w:type="spellStart"/>
      <w:r>
        <w:t>Angelsen</w:t>
      </w:r>
      <w:proofErr w:type="spellEnd"/>
      <w:r>
        <w:t xml:space="preserve"> 2010, </w:t>
      </w:r>
      <w:proofErr w:type="spellStart"/>
      <w:r>
        <w:t>Tietenberg</w:t>
      </w:r>
      <w:proofErr w:type="spellEnd"/>
      <w:r>
        <w:t xml:space="preserve"> and Lewis 2016).</w:t>
      </w:r>
    </w:p>
    <w:p w:rsidR="0025001E" w:rsidRDefault="0025001E" w:rsidP="0025001E">
      <w:pPr>
        <w:autoSpaceDE w:val="0"/>
      </w:pPr>
      <w:r>
        <w:t xml:space="preserve">Katharine R.E. Sims, Jonathan R. Thompson, Spencer R. Meyer, Christoph Nolte, Joshua S. </w:t>
      </w:r>
      <w:proofErr w:type="spellStart"/>
      <w:r>
        <w:t>Plisinski</w:t>
      </w:r>
      <w:proofErr w:type="spellEnd"/>
      <w:r>
        <w:t xml:space="preserve">. 2019. Assessing the local economic impacts of land protection. Conservation Biology. </w:t>
      </w:r>
      <w:r>
        <w:lastRenderedPageBreak/>
        <w:t xml:space="preserve">26 March 2019 </w:t>
      </w:r>
      <w:hyperlink r:id="rId51" w:history="1">
        <w:r w:rsidRPr="00A404B7">
          <w:rPr>
            <w:rStyle w:val="Hyperlink"/>
          </w:rPr>
          <w:t>https://doi.org/10.1111/cobi.13318</w:t>
        </w:r>
      </w:hyperlink>
      <w:r>
        <w:t xml:space="preserve">, </w:t>
      </w:r>
      <w:hyperlink r:id="rId52" w:history="1">
        <w:r>
          <w:rPr>
            <w:rStyle w:val="Hyperlink"/>
          </w:rPr>
          <w:t>https://harvardforest.fas.harvard.edu/sites/default/files/Sims_et_al-2019-Conservation_Biology.pdf</w:t>
        </w:r>
      </w:hyperlink>
      <w:r>
        <w:t>.</w:t>
      </w:r>
    </w:p>
    <w:p w:rsidR="00EE1DAC" w:rsidRDefault="00EE1DAC" w:rsidP="0025001E"/>
    <w:p w:rsidR="0025001E" w:rsidRDefault="0025001E" w:rsidP="0025001E">
      <w:r>
        <w:t>The “</w:t>
      </w:r>
      <w:r w:rsidRPr="00230C73">
        <w:t>Effects Details for Forest Products</w:t>
      </w:r>
      <w:r>
        <w:t xml:space="preserve">” at EA (pp 66-68) is unclear. What spatial scales are being analyzed and reported? What is the “event” being modelled? </w:t>
      </w:r>
    </w:p>
    <w:p w:rsidR="0025001E" w:rsidRDefault="0025001E" w:rsidP="0025001E">
      <w:pPr>
        <w:pStyle w:val="Heading2"/>
      </w:pPr>
      <w:bookmarkStart w:id="25" w:name="_Toc53483526"/>
      <w:r>
        <w:t>RIPARIAN AND AQUATIC ANALYSIS</w:t>
      </w:r>
      <w:bookmarkEnd w:id="25"/>
    </w:p>
    <w:p w:rsidR="0025001E" w:rsidRDefault="0025001E" w:rsidP="0025001E">
      <w:r>
        <w:t>The EA lacks any meaningful analysis of the effects of amending the screens to allow removal of large trees on riparian and aquatic ecosystems. This deprives the public of the ability to provide informed comment, and deprives the decision-maker of information they need to make informed decisions.</w:t>
      </w:r>
    </w:p>
    <w:p w:rsidR="0025001E" w:rsidRDefault="0025001E" w:rsidP="0025001E"/>
    <w:p w:rsidR="0025001E" w:rsidRDefault="0025001E" w:rsidP="0025001E">
      <w:r>
        <w:t>The FS seems to suggest that the proposed amendment will be no effect on riparian resources, but if that is the case, they should just remove any doubt by excluding RHCAs from the amendment.</w:t>
      </w:r>
    </w:p>
    <w:p w:rsidR="0025001E" w:rsidRDefault="0025001E" w:rsidP="0025001E"/>
    <w:p w:rsidR="0025001E" w:rsidRDefault="0025001E" w:rsidP="0025001E">
      <w:r>
        <w:t>Managing Riparian Habitat Conservation Areas (RHCAs) under the amended screens will likely lead to the removal of large trees necessary for meeting riparian management objectives (RMOs). The EA (p 69) says “</w:t>
      </w:r>
      <w:r w:rsidRPr="00816DFC">
        <w:t>The PACFISH and INFISH objectives, goals, standards and guides would not be changed.</w:t>
      </w:r>
      <w:r>
        <w:t xml:space="preserve"> … </w:t>
      </w:r>
      <w:r w:rsidRPr="00816DFC">
        <w:t>PACFISH and INFISH management direction is similar to the goals of the amendment with regard to allowing vegetation treatments within RHCAs for the purposes of maintaining habitat</w:t>
      </w:r>
      <w:r>
        <w:t xml:space="preserve"> …</w:t>
      </w:r>
      <w:r w:rsidRPr="00816DFC">
        <w:t xml:space="preserve"> </w:t>
      </w:r>
      <w:r>
        <w:t>[T]</w:t>
      </w:r>
      <w:proofErr w:type="spellStart"/>
      <w:r w:rsidRPr="00816DFC">
        <w:t>reatments</w:t>
      </w:r>
      <w:proofErr w:type="spellEnd"/>
      <w:r w:rsidRPr="00816DFC">
        <w:t xml:space="preserve"> cannot retard attainment of riparian management objectives (RMOs).</w:t>
      </w:r>
      <w:r>
        <w:t xml:space="preserve">” This raises concerns because, the goals of PACFISH &amp; INFISH are different than the goals of the Eastside Screens. For instance, PACFISH and INFISH emphasize thermal regulation and recruitment of dead wood both of which arguably require retention of more green trees than the screens. PACFISH and INFISH also have objectives that are more quantified and explicit compared to the LOS goals of the Eastside Screens. The </w:t>
      </w:r>
      <w:r w:rsidRPr="00AC2A2D">
        <w:rPr>
          <w:i/>
        </w:rPr>
        <w:t>goals</w:t>
      </w:r>
      <w:r>
        <w:t xml:space="preserve"> of PACFISH for riparian vegetation include:</w:t>
      </w:r>
    </w:p>
    <w:p w:rsidR="0025001E" w:rsidRDefault="0025001E" w:rsidP="0025001E">
      <w:pPr>
        <w:spacing w:line="240" w:lineRule="auto"/>
        <w:ind w:left="720"/>
      </w:pPr>
      <w:r>
        <w:t>The goals are to maintain or restore: … riparian vegetation to:</w:t>
      </w:r>
    </w:p>
    <w:p w:rsidR="0025001E" w:rsidRDefault="0025001E" w:rsidP="0025001E">
      <w:pPr>
        <w:spacing w:line="240" w:lineRule="auto"/>
        <w:ind w:left="720"/>
      </w:pPr>
      <w:r>
        <w:t>(a) provide an amount and distribution of large woody debris characteristic of natural aquatic and riparian ecosystems;</w:t>
      </w:r>
    </w:p>
    <w:p w:rsidR="0025001E" w:rsidRDefault="0025001E" w:rsidP="0025001E">
      <w:pPr>
        <w:spacing w:line="240" w:lineRule="auto"/>
        <w:ind w:left="720"/>
      </w:pPr>
      <w:r>
        <w:t>(b) provide adequate summer and winter thermal regulation within the riparian and aquatic zones; and</w:t>
      </w:r>
    </w:p>
    <w:p w:rsidR="0025001E" w:rsidRDefault="0025001E" w:rsidP="0025001E">
      <w:pPr>
        <w:spacing w:line="240" w:lineRule="auto"/>
        <w:ind w:left="720"/>
      </w:pPr>
      <w:r>
        <w:t>(c) help achieve rates of surface erosion, bank erosion, and channel migration characteristic of those under which the communities developed.</w:t>
      </w:r>
    </w:p>
    <w:p w:rsidR="00EE1DAC" w:rsidRDefault="00EE1DAC" w:rsidP="0025001E">
      <w:pPr>
        <w:spacing w:line="240" w:lineRule="auto"/>
      </w:pPr>
    </w:p>
    <w:p w:rsidR="0025001E" w:rsidRDefault="0025001E" w:rsidP="0025001E">
      <w:pPr>
        <w:spacing w:line="240" w:lineRule="auto"/>
      </w:pPr>
      <w:r>
        <w:t xml:space="preserve">The most relevant </w:t>
      </w:r>
      <w:r w:rsidRPr="00AC2A2D">
        <w:rPr>
          <w:i/>
        </w:rPr>
        <w:t>riparian management objectives</w:t>
      </w:r>
      <w:r>
        <w:t xml:space="preserve"> (RMOs) are:</w:t>
      </w:r>
    </w:p>
    <w:p w:rsidR="0025001E" w:rsidRDefault="0025001E" w:rsidP="0025001E">
      <w:pPr>
        <w:autoSpaceDE w:val="0"/>
        <w:autoSpaceDN w:val="0"/>
        <w:adjustRightInd w:val="0"/>
        <w:spacing w:line="240" w:lineRule="auto"/>
        <w:ind w:left="720"/>
      </w:pPr>
      <w:r w:rsidRPr="00064036">
        <w:rPr>
          <w:b/>
        </w:rPr>
        <w:t>Stream Temperature</w:t>
      </w:r>
      <w:r w:rsidRPr="00816DFC">
        <w:t xml:space="preserve"> </w:t>
      </w:r>
      <w:r>
        <w:t>–</w:t>
      </w:r>
      <w:r w:rsidRPr="00816DFC">
        <w:t xml:space="preserve"> No measurable increase in maximum water temperature. </w:t>
      </w:r>
    </w:p>
    <w:p w:rsidR="0025001E" w:rsidRDefault="0025001E" w:rsidP="0025001E">
      <w:pPr>
        <w:autoSpaceDE w:val="0"/>
        <w:autoSpaceDN w:val="0"/>
        <w:adjustRightInd w:val="0"/>
        <w:spacing w:line="240" w:lineRule="auto"/>
        <w:ind w:left="720"/>
      </w:pPr>
      <w:r w:rsidRPr="00816DFC">
        <w:t>Maximum water temperatures below 64F within migration</w:t>
      </w:r>
      <w:r>
        <w:t xml:space="preserve"> </w:t>
      </w:r>
      <w:r w:rsidRPr="00816DFC">
        <w:t>and rearing habitats and below 60F within spawning</w:t>
      </w:r>
      <w:r>
        <w:t xml:space="preserve"> </w:t>
      </w:r>
      <w:r w:rsidRPr="00816DFC">
        <w:t>habitats.</w:t>
      </w:r>
      <w:r>
        <w:t xml:space="preserve"> [PACFISH]</w:t>
      </w:r>
    </w:p>
    <w:p w:rsidR="0025001E" w:rsidRPr="00816DFC" w:rsidRDefault="0025001E" w:rsidP="0025001E">
      <w:pPr>
        <w:autoSpaceDE w:val="0"/>
        <w:autoSpaceDN w:val="0"/>
        <w:adjustRightInd w:val="0"/>
        <w:spacing w:line="240" w:lineRule="auto"/>
        <w:ind w:left="720"/>
      </w:pPr>
      <w:r>
        <w:lastRenderedPageBreak/>
        <w:t>Maximum water temperatures below 59F within adult holding habitat and below 48F within spawning and rearing habitats. [INFISH]</w:t>
      </w:r>
    </w:p>
    <w:p w:rsidR="0025001E" w:rsidRPr="00816DFC" w:rsidRDefault="0025001E" w:rsidP="0025001E">
      <w:pPr>
        <w:spacing w:line="240" w:lineRule="auto"/>
        <w:ind w:left="720"/>
      </w:pPr>
      <w:r w:rsidRPr="00816DFC">
        <w:t>[and]</w:t>
      </w:r>
    </w:p>
    <w:p w:rsidR="0025001E" w:rsidRDefault="0025001E" w:rsidP="0025001E">
      <w:pPr>
        <w:autoSpaceDE w:val="0"/>
        <w:autoSpaceDN w:val="0"/>
        <w:adjustRightInd w:val="0"/>
        <w:spacing w:line="240" w:lineRule="auto"/>
        <w:ind w:left="720"/>
      </w:pPr>
      <w:r w:rsidRPr="00064036">
        <w:rPr>
          <w:b/>
        </w:rPr>
        <w:t xml:space="preserve">Large </w:t>
      </w:r>
      <w:r>
        <w:rPr>
          <w:b/>
        </w:rPr>
        <w:t>W</w:t>
      </w:r>
      <w:r w:rsidRPr="00064036">
        <w:rPr>
          <w:b/>
        </w:rPr>
        <w:t xml:space="preserve">oody </w:t>
      </w:r>
      <w:r>
        <w:rPr>
          <w:b/>
        </w:rPr>
        <w:t>D</w:t>
      </w:r>
      <w:r w:rsidRPr="00064036">
        <w:rPr>
          <w:b/>
        </w:rPr>
        <w:t>ebris</w:t>
      </w:r>
      <w:r w:rsidRPr="00816DFC">
        <w:t xml:space="preserve"> </w:t>
      </w:r>
      <w:r>
        <w:t>–</w:t>
      </w:r>
      <w:r w:rsidRPr="00816DFC">
        <w:t xml:space="preserve"> </w:t>
      </w:r>
      <w:r>
        <w:t xml:space="preserve"> </w:t>
      </w:r>
      <w:r w:rsidRPr="00816DFC">
        <w:t>East of Cascade Crest in Oregon, Washing1on, Idaho.</w:t>
      </w:r>
      <w:r>
        <w:t xml:space="preserve"> </w:t>
      </w:r>
    </w:p>
    <w:p w:rsidR="0025001E" w:rsidRDefault="0025001E" w:rsidP="0025001E">
      <w:pPr>
        <w:autoSpaceDE w:val="0"/>
        <w:autoSpaceDN w:val="0"/>
        <w:adjustRightInd w:val="0"/>
        <w:spacing w:line="240" w:lineRule="auto"/>
        <w:ind w:left="720"/>
        <w:rPr>
          <w:rFonts w:ascii="Arial" w:hAnsi="Arial" w:cs="Arial"/>
          <w:sz w:val="23"/>
          <w:szCs w:val="23"/>
        </w:rPr>
      </w:pPr>
      <w:r w:rsidRPr="00816DFC">
        <w:t>&gt;20 pieces per mile; &gt;12 inch diameter; &gt;35 foot length.</w:t>
      </w:r>
    </w:p>
    <w:p w:rsidR="00EE1DAC" w:rsidRDefault="00EE1DAC" w:rsidP="0025001E">
      <w:pPr>
        <w:spacing w:line="240" w:lineRule="auto"/>
      </w:pPr>
    </w:p>
    <w:p w:rsidR="0025001E" w:rsidRDefault="0025001E" w:rsidP="0025001E">
      <w:pPr>
        <w:spacing w:line="240" w:lineRule="auto"/>
      </w:pPr>
      <w:r>
        <w:t>The FS track record managing Riparian Habitat Conservation Areas for these goals and RMOs is spotty. The FS is under pressure to get the cut out, and often conducts commercial logging in RHCAs using prescriptions similar to uplands, leading to reduced canopy cover (leading to increased stream temperature) and reduced tree populations (leading to reduced recruitment of wood &gt;12” dbh). The FS is prone to assert that “what’s good for upland forests is good for riparian forests,” failing to recognize the divergent goals in these two areas.</w:t>
      </w:r>
    </w:p>
    <w:p w:rsidR="0025001E" w:rsidRDefault="0025001E" w:rsidP="0025001E">
      <w:pPr>
        <w:spacing w:line="240" w:lineRule="auto"/>
      </w:pPr>
    </w:p>
    <w:p w:rsidR="0025001E" w:rsidRDefault="0025001E" w:rsidP="0025001E">
      <w:pPr>
        <w:spacing w:line="240" w:lineRule="auto"/>
      </w:pPr>
      <w:r>
        <w:t xml:space="preserve">In it very limited analysis of effects to riparian and aquatic ecosystems, the EA makes several unsupported assumptions – </w:t>
      </w:r>
    </w:p>
    <w:p w:rsidR="0025001E" w:rsidRDefault="0025001E" w:rsidP="0025001E">
      <w:pPr>
        <w:pStyle w:val="ListParagraph"/>
        <w:numPr>
          <w:ilvl w:val="0"/>
          <w:numId w:val="10"/>
        </w:numPr>
        <w:spacing w:line="240" w:lineRule="auto"/>
      </w:pPr>
      <w:r>
        <w:t xml:space="preserve">that the FS can be trusted to avoid retarding RMOs, </w:t>
      </w:r>
    </w:p>
    <w:p w:rsidR="0025001E" w:rsidRDefault="0025001E" w:rsidP="0025001E">
      <w:pPr>
        <w:pStyle w:val="ListParagraph"/>
        <w:numPr>
          <w:ilvl w:val="0"/>
          <w:numId w:val="10"/>
        </w:numPr>
        <w:spacing w:line="240" w:lineRule="auto"/>
      </w:pPr>
      <w:r>
        <w:t xml:space="preserve">that logging prescriptions for uplands and RHCAs are distinct, </w:t>
      </w:r>
    </w:p>
    <w:p w:rsidR="0025001E" w:rsidRDefault="0025001E" w:rsidP="0025001E">
      <w:pPr>
        <w:pStyle w:val="ListParagraph"/>
        <w:numPr>
          <w:ilvl w:val="0"/>
          <w:numId w:val="10"/>
        </w:numPr>
        <w:spacing w:line="240" w:lineRule="auto"/>
      </w:pPr>
      <w:r>
        <w:t xml:space="preserve">that commercial logging in RHCAs is will not retard RMOs, and </w:t>
      </w:r>
    </w:p>
    <w:p w:rsidR="0025001E" w:rsidRDefault="0025001E" w:rsidP="0025001E">
      <w:pPr>
        <w:pStyle w:val="ListParagraph"/>
        <w:numPr>
          <w:ilvl w:val="0"/>
          <w:numId w:val="10"/>
        </w:numPr>
        <w:spacing w:line="240" w:lineRule="auto"/>
      </w:pPr>
      <w:r>
        <w:t>that removing large trees under the amended screens will pose no increased risk that RMOs will be retarded.</w:t>
      </w:r>
    </w:p>
    <w:p w:rsidR="0025001E" w:rsidRDefault="0025001E" w:rsidP="0025001E">
      <w:pPr>
        <w:spacing w:line="240" w:lineRule="auto"/>
      </w:pPr>
      <w:r>
        <w:t>These assumptions need to be tested and verified. Potential impacts to riparian and aquatic resources deserve much more careful analysis.</w:t>
      </w:r>
    </w:p>
    <w:p w:rsidR="0025001E" w:rsidRDefault="0025001E" w:rsidP="0025001E">
      <w:pPr>
        <w:spacing w:line="240" w:lineRule="auto"/>
      </w:pPr>
    </w:p>
    <w:p w:rsidR="0025001E" w:rsidRDefault="0025001E" w:rsidP="0025001E">
      <w:pPr>
        <w:spacing w:line="240" w:lineRule="auto"/>
      </w:pPr>
      <w:r>
        <w:t>PACFISH/INFISH recognize the value of instream wood that is 12” dbh or larger. Therefore, any removal of trees larger than 12” dbh within a site-potential tree distance of streams represents a risk that RMOs for large woody debris will be retarded in violation of PACFISH/INFISH. Any removal of canopy trees in the shade zone of streams represents a risk that RMOs for temperature will be retarded in violation of PACFISH/INFISH. The EA failed to disclose these risks. These potential forest plan violations indicate the significance of this decision and the need for an EIS.</w:t>
      </w:r>
    </w:p>
    <w:p w:rsidR="0025001E" w:rsidRDefault="0025001E" w:rsidP="0025001E">
      <w:pPr>
        <w:spacing w:line="240" w:lineRule="auto"/>
      </w:pPr>
    </w:p>
    <w:p w:rsidR="00C24985" w:rsidRDefault="0025001E" w:rsidP="0025001E">
      <w:pPr>
        <w:spacing w:line="240" w:lineRule="auto"/>
      </w:pPr>
      <w:r>
        <w:t xml:space="preserve">This highlights the need to consider alternatives that exclude certain land allocations, such as RHCAs, (and other sensitive areas) from this plan amendment. </w:t>
      </w:r>
    </w:p>
    <w:p w:rsidR="00C24985" w:rsidRDefault="00C24985" w:rsidP="00C24985">
      <w:pPr>
        <w:pStyle w:val="Heading2"/>
      </w:pPr>
      <w:bookmarkStart w:id="26" w:name="_Toc53483527"/>
      <w:r>
        <w:t>SNAG AND GREEN TREE RETENTION AMENDMENT</w:t>
      </w:r>
      <w:bookmarkEnd w:id="26"/>
    </w:p>
    <w:p w:rsidR="00C24985" w:rsidRPr="00A90AB3" w:rsidRDefault="00C24985" w:rsidP="00C24985">
      <w:r>
        <w:t xml:space="preserve">The EA fails to articulate any purpose and need for amending the snag and green tree replacement standards. This raises significant concerns in light of the fact that logging large trees will deprive the ecosystem of much needed large snags, and the </w:t>
      </w:r>
      <w:r w:rsidRPr="00A90AB3">
        <w:t xml:space="preserve">critically important role played by snags and dead wood recognized in the 1994 Everett Report (p 23): </w:t>
      </w:r>
    </w:p>
    <w:p w:rsidR="00C24985" w:rsidRPr="00A90AB3" w:rsidRDefault="00C24985" w:rsidP="00C24985">
      <w:pPr>
        <w:ind w:left="720"/>
      </w:pPr>
      <w:r w:rsidRPr="00A90AB3">
        <w:t xml:space="preserve">[In]… </w:t>
      </w:r>
      <w:proofErr w:type="spellStart"/>
      <w:r w:rsidRPr="00A90AB3">
        <w:t>presettlement</w:t>
      </w:r>
      <w:proofErr w:type="spellEnd"/>
      <w:r w:rsidRPr="00A90AB3">
        <w:t xml:space="preserve"> forest fires ... [t]</w:t>
      </w:r>
      <w:proofErr w:type="spellStart"/>
      <w:r w:rsidRPr="00A90AB3">
        <w:t>rees</w:t>
      </w:r>
      <w:proofErr w:type="spellEnd"/>
      <w:r w:rsidRPr="00A90AB3">
        <w:t xml:space="preserve"> were killed but not removed by fire and a considerable biomass of dead wood was left standing. Before being incorporated into the soil, these dead trees functioned first as dead shade-moderating site conditions for the establishment of new conifer seedlings, shrubs, and herbs; snags- providing food, roosts, and homes for various birds and small mammals; and down logs- again providing food </w:t>
      </w:r>
      <w:r w:rsidRPr="00A90AB3">
        <w:lastRenderedPageBreak/>
        <w:t>and shelter, and substrate for arthropods, plants, soil bacteria and fungi, and moisture retention.</w:t>
      </w:r>
    </w:p>
    <w:p w:rsidR="00C24985" w:rsidRPr="00A90AB3" w:rsidRDefault="00C24985" w:rsidP="00C24985">
      <w:pPr>
        <w:ind w:left="720"/>
      </w:pPr>
      <w:r w:rsidRPr="00A90AB3">
        <w:t>Dead trees and down logs play important roles in ecosystems. An important goal of research will be to determine the amount of dead wood that is needed to conserve biological diversity and long-term productivity. An important goal of ecosystem management will be to match management actions to the disturbance ecologies of ecosystems. … [Y]</w:t>
      </w:r>
      <w:proofErr w:type="spellStart"/>
      <w:r w:rsidRPr="00A90AB3">
        <w:t>ield</w:t>
      </w:r>
      <w:proofErr w:type="spellEnd"/>
      <w:r w:rsidRPr="00A90AB3">
        <w:t xml:space="preserve"> expectations for harvested acres should be scaled to accommodate the dead wood needs of ecosystems.</w:t>
      </w:r>
    </w:p>
    <w:p w:rsidR="00C24985" w:rsidRPr="00A90AB3" w:rsidRDefault="00C24985" w:rsidP="00C24985">
      <w:pPr>
        <w:ind w:left="720"/>
      </w:pPr>
      <w:r w:rsidRPr="00A90AB3">
        <w:t>… Large amounts of standing and down dead wood should be left after harvest.</w:t>
      </w:r>
    </w:p>
    <w:p w:rsidR="00C24985" w:rsidRPr="00A90AB3" w:rsidRDefault="00C24985" w:rsidP="00C24985">
      <w:pPr>
        <w:ind w:left="720"/>
      </w:pPr>
      <w:r w:rsidRPr="00A90AB3">
        <w:t>… Under ecosystem management, planned thinning can leave behind important dead and down wood in all of its needed forms.</w:t>
      </w:r>
    </w:p>
    <w:p w:rsidR="00C24985" w:rsidRDefault="00C24985" w:rsidP="00C24985">
      <w:r w:rsidRPr="00A90AB3">
        <w:t xml:space="preserve">Everett et al 1994. Eastside Forest Ecosystem Health Assessment . Volume I: Executive Summary.  General Technical Report PNW-GTR-317. </w:t>
      </w:r>
      <w:hyperlink r:id="rId53" w:history="1">
        <w:r w:rsidRPr="00A90AB3">
          <w:rPr>
            <w:rStyle w:val="Hyperlink"/>
          </w:rPr>
          <w:t>https://www.fs.fed.us/pnw/pubs/pnw_gtr317.pdf</w:t>
        </w:r>
      </w:hyperlink>
      <w:r w:rsidRPr="00A90AB3">
        <w:t>. Significant progress has been made to improve the identification of the appropriate amount of snags and dead wood that should be maintained over time in eastside forests, but this plan amendment eliminates any clear requirement to meet the quantifiable needs of snag-associated wildlife when designing timber sales.</w:t>
      </w:r>
    </w:p>
    <w:p w:rsidR="00C24985" w:rsidRDefault="00C24985" w:rsidP="00C24985"/>
    <w:p w:rsidR="00C24985" w:rsidRDefault="00C24985" w:rsidP="00C24985">
      <w:r>
        <w:t xml:space="preserve">In addition, there is no valid ecological rationale for removing large numbers of shade-tolerant trees 21-30” dbh AND gutting the snag standard given that large shade-tolerant trees that provide disproportionate ecological value in terms of cavity habitat. Dr. Brenda </w:t>
      </w:r>
      <w:proofErr w:type="spellStart"/>
      <w:r>
        <w:t>McComb</w:t>
      </w:r>
      <w:proofErr w:type="spellEnd"/>
      <w:r>
        <w:t xml:space="preserve"> reminds people that Ponderosa pine are not cavity prone, but </w:t>
      </w:r>
      <w:r w:rsidRPr="00107203">
        <w:t>“</w:t>
      </w:r>
      <w:r w:rsidRPr="00107203">
        <w:rPr>
          <w:i/>
          <w:iCs/>
        </w:rPr>
        <w:t xml:space="preserve">In eastern Oregon, firs affected by paint fungus were primary sources of roost cavities for pileated woodpeckers and given the prevalence of ponderosa pine in the area, I would conclude that the true firs are likely more cavity prone: </w:t>
      </w:r>
      <w:hyperlink r:id="rId54" w:history="1">
        <w:r w:rsidRPr="00107203">
          <w:rPr>
            <w:rStyle w:val="Hyperlink"/>
            <w:i/>
            <w:iCs/>
          </w:rPr>
          <w:t>https://www.jstor.org/stable/3809474?seq=1</w:t>
        </w:r>
      </w:hyperlink>
      <w:r w:rsidRPr="00107203">
        <w:rPr>
          <w:rStyle w:val="Hyperlink"/>
          <w:i/>
          <w:iCs/>
        </w:rPr>
        <w:t>.”</w:t>
      </w:r>
      <w:r>
        <w:t xml:space="preserve"> </w:t>
      </w:r>
      <w:r w:rsidRPr="00107203">
        <w:t>Foundations of Forest Wildlife Habitat Management Habitat through Disturbance and Silviculture</w:t>
      </w:r>
      <w:r>
        <w:t xml:space="preserve">. August 2020. </w:t>
      </w:r>
      <w:r w:rsidRPr="00107203">
        <w:t>Lecture 1 Questions and Answers:</w:t>
      </w:r>
      <w:r>
        <w:t xml:space="preserve"> </w:t>
      </w:r>
      <w:hyperlink r:id="rId55" w:history="1">
        <w:r w:rsidRPr="00041242">
          <w:rPr>
            <w:rStyle w:val="Hyperlink"/>
          </w:rPr>
          <w:t>https://nctc.fws.gov/topic/online-training/webinars/forest-ecology-and-management.html</w:t>
        </w:r>
      </w:hyperlink>
      <w:r>
        <w:t xml:space="preserve"> </w:t>
      </w:r>
      <w:r w:rsidRPr="00107203">
        <w:rPr>
          <w:i/>
        </w:rPr>
        <w:t>citing</w:t>
      </w:r>
      <w:r>
        <w:t xml:space="preserve"> </w:t>
      </w:r>
      <w:r w:rsidRPr="00107203">
        <w:t xml:space="preserve">Evelyn L. Bull, Richard S. </w:t>
      </w:r>
      <w:proofErr w:type="spellStart"/>
      <w:r w:rsidRPr="00107203">
        <w:t>Holthausen</w:t>
      </w:r>
      <w:proofErr w:type="spellEnd"/>
      <w:r w:rsidRPr="00107203">
        <w:t xml:space="preserve"> and Mark G. </w:t>
      </w:r>
      <w:proofErr w:type="spellStart"/>
      <w:r w:rsidRPr="00107203">
        <w:t>Henjum</w:t>
      </w:r>
      <w:proofErr w:type="spellEnd"/>
      <w:r>
        <w:t xml:space="preserve"> 1992. </w:t>
      </w:r>
      <w:r w:rsidRPr="00107203">
        <w:t>Roost Trees Used by Pileated Woodpeckers in Northeastern Orego</w:t>
      </w:r>
      <w:r>
        <w:t xml:space="preserve">n. </w:t>
      </w:r>
      <w:r w:rsidRPr="00107203">
        <w:t>The Journal of Wildlife Management</w:t>
      </w:r>
      <w:r>
        <w:t xml:space="preserve">. </w:t>
      </w:r>
      <w:r w:rsidRPr="00107203">
        <w:t>Vol. 56, No. 4 (Oct., 1992), pp. 786-793</w:t>
      </w:r>
      <w:r>
        <w:t xml:space="preserve">. </w:t>
      </w:r>
      <w:hyperlink r:id="rId56" w:history="1">
        <w:r w:rsidRPr="00041242">
          <w:rPr>
            <w:rStyle w:val="Hyperlink"/>
          </w:rPr>
          <w:t>https://www.jstor.org/stable/3809474?seq=1</w:t>
        </w:r>
      </w:hyperlink>
      <w:r>
        <w:t xml:space="preserve">. The proposed plan amendment seeks to shift species composition away from shade-tolerant species like grand fir/white fir and fails to ensure adequate habitat for species like pileated woodpecker. Franklin, </w:t>
      </w:r>
      <w:proofErr w:type="spellStart"/>
      <w:r>
        <w:t>Seager</w:t>
      </w:r>
      <w:proofErr w:type="spellEnd"/>
      <w:r>
        <w:t xml:space="preserve"> &amp; Johnson’s review of the EA said:</w:t>
      </w:r>
    </w:p>
    <w:p w:rsidR="00C24985" w:rsidRDefault="00C24985" w:rsidP="00C24985">
      <w:pPr>
        <w:ind w:left="720"/>
      </w:pPr>
      <w:r>
        <w:t xml:space="preserve">… the EA addresses habitat under LOS for late-closed and late-open associated wildlife species. This fails to account for conifers species composition, and more importantly, the stand specifics of each conifer species (e.g., dbh, spatial placement) for wildlife habitat requirements. Since different alternatives allow the harvest of different tree species, sizes, and ages, it does not hold that post-treatment stands classified as late-open or late-closed will inherently contain the habitat needed  … [L]ate-closed forests without proper conifer </w:t>
      </w:r>
      <w:r>
        <w:lastRenderedPageBreak/>
        <w:t>species composition providing rapid decay (e.g., grand fir or white fir) will not provide appropriate pileated woodpecker habitat.</w:t>
      </w:r>
    </w:p>
    <w:p w:rsidR="00C24985" w:rsidRDefault="00C24985" w:rsidP="00C24985"/>
    <w:p w:rsidR="00C24985" w:rsidRDefault="00C24985" w:rsidP="00C24985">
      <w:r>
        <w:t xml:space="preserve">The EA proposes a significant amendment to the snag standards without considering any alternative approaches. This violates NEPA. The FS must consider alternatives approaches to meeting snag habitat goals. The FS should retain the Screens’ aspirational goals for maintaining maximum populations of cavity excavators and snag-associated wildlife, then adopting methods to achieve those goals that reflect the best available science. This would probably look something like managing snags and green tree to achieve and maintain 80% DecAID tolerance levels for snag-associated wildlife. See </w:t>
      </w:r>
      <w:r w:rsidRPr="002911F7">
        <w:t xml:space="preserve">Mellen-McLean, Kim, Bruce G. Marcot, </w:t>
      </w:r>
      <w:r>
        <w:t xml:space="preserve">et al. </w:t>
      </w:r>
      <w:r w:rsidRPr="002911F7">
        <w:t>2017. DecAID, the decayed wood advisor for managing snags, partially dead trees, and down wood for biodiversity in forests of Washington and Oregon. Version 3.0. USDA Forest Service, and Pacific Northwest Research Station; USDI Fish and Wildlife Service, Oregon</w:t>
      </w:r>
      <w:r>
        <w:t xml:space="preserve"> State Office; Portland, Oregon.  </w:t>
      </w:r>
      <w:hyperlink r:id="rId57" w:history="1">
        <w:r w:rsidRPr="00041242">
          <w:rPr>
            <w:rStyle w:val="Hyperlink"/>
          </w:rPr>
          <w:t>https://apps.fs.usda.gov/r6_decaid/views/index.html</w:t>
        </w:r>
      </w:hyperlink>
      <w:r>
        <w:t>.</w:t>
      </w:r>
    </w:p>
    <w:p w:rsidR="00793345" w:rsidRDefault="00793345" w:rsidP="00C24985"/>
    <w:p w:rsidR="00793345" w:rsidRDefault="00793345" w:rsidP="00793345">
      <w:r w:rsidRPr="00A90AB3">
        <w:t xml:space="preserve">The EA (p 9) says that concerns about wildlife were addressed by retaining the existing intent of the Wildlife Screens’ and by adopting new snag standards that are “grounded in science.” This is misleading at best. The FS is using sleight of hand to narrow the focus of the Wildlife Screen to </w:t>
      </w:r>
      <w:r w:rsidRPr="00A90AB3">
        <w:rPr>
          <w:i/>
        </w:rPr>
        <w:t>old trees</w:t>
      </w:r>
      <w:r w:rsidRPr="00A90AB3">
        <w:t xml:space="preserve"> and exclude functional surrogates for old trees that were clearly part of the original intent of the screens. The FS is also proposing a radical new snag standard that </w:t>
      </w:r>
      <w:r>
        <w:t xml:space="preserve">remains connected to the discredited “potential population” methodology and </w:t>
      </w:r>
      <w:r w:rsidRPr="00A90AB3">
        <w:t>completely divorces timber planning from any clear goals related to the number of snags (and green trees) needed to maintain healthy populations of snag-associated wildlife</w:t>
      </w:r>
      <w:r>
        <w:t xml:space="preserve"> over time</w:t>
      </w:r>
      <w:r w:rsidRPr="00A90AB3">
        <w:t xml:space="preserve">. </w:t>
      </w:r>
    </w:p>
    <w:p w:rsidR="00793345" w:rsidRDefault="00793345" w:rsidP="00793345"/>
    <w:p w:rsidR="00793345" w:rsidRPr="00A90AB3" w:rsidRDefault="00793345" w:rsidP="00793345">
      <w:r w:rsidRPr="00A90AB3">
        <w:t xml:space="preserve">The existing Wildlife Screens (Scenario A, Sub 4 (a)) have a clear aspirational goal to provide enough snags and green trees to support maximum potential populations of cavity excavator species. The authors of the Screens recognized that maintaining healthy populations of woodpeckers was important to forest health and resilience, because cavity excavators create nesting sites for a number of other birds that help suppress populations of forest insects that can be harmful to trees. </w:t>
      </w:r>
      <w:r>
        <w:t xml:space="preserve">The new snag standards shift from 100% potential populations to 40-60% potential population objectives in many land allocations. This not only retains the flaw in the Screens, it also adopts (without any justification) a lower target for snag habitat. </w:t>
      </w:r>
    </w:p>
    <w:p w:rsidR="00793345" w:rsidRDefault="00793345" w:rsidP="00793345"/>
    <w:p w:rsidR="00793345" w:rsidRPr="00A90AB3" w:rsidRDefault="00793345" w:rsidP="00793345">
      <w:r w:rsidRPr="00A90AB3">
        <w:t xml:space="preserve">The value of snags and dead wood was reiterated by the Eastside Scientific Societies Panel that explained the keystone role of woodpeckers and the critical importance of snags and dead wood to the overall functioning of the forest. </w:t>
      </w:r>
    </w:p>
    <w:p w:rsidR="00793345" w:rsidRPr="00A90AB3" w:rsidRDefault="00793345" w:rsidP="00793345">
      <w:pPr>
        <w:ind w:left="720"/>
      </w:pPr>
      <w:r w:rsidRPr="00A90AB3">
        <w:t xml:space="preserve">The predatory impact of woodpeckers on pest insects is only part of the total predatory impact of the entire avian community. Many bird species continually feed on insect populations, and many depend on woodpeckers to construct the cavities they use. </w:t>
      </w:r>
      <w:r w:rsidRPr="00A90AB3">
        <w:lastRenderedPageBreak/>
        <w:t>Therefore, maintenance of natural densities of woodpeckers may be crucial to the natural ecological response systems to insect irruptions.</w:t>
      </w:r>
    </w:p>
    <w:p w:rsidR="00793345" w:rsidRPr="00A90AB3" w:rsidRDefault="00793345" w:rsidP="00793345">
      <w:pPr>
        <w:ind w:left="720"/>
      </w:pPr>
      <w:r w:rsidRPr="00A90AB3">
        <w:t>A few scattered snags retained by forest management are not sufficient to provide nesting and roosting habitat into the future. Snags and logs in harvested areas and logs in streams remain only a finite time; the next generation of snags and large woody debris—in other words, live old trees—must be protected. Saving the remaining old-growth is thus a critical first step in conserving old-growth-dependent species, but preservation must be supplemented with plans for generating future old growth.</w:t>
      </w:r>
    </w:p>
    <w:p w:rsidR="00793345" w:rsidRPr="00A90AB3" w:rsidRDefault="00793345" w:rsidP="00793345">
      <w:pPr>
        <w:ind w:left="720"/>
      </w:pPr>
      <w:r w:rsidRPr="00A90AB3">
        <w:t xml:space="preserve">Forest management that preserves selected snags does not adequately meet the foraging needs of LS/OG-associated species. Eliminating foraging habitat by extensive salvaging or selective cutting will have adverse consequences for pileated woodpeckers and other forest species dependent on cavities excavated by woodpeckers. Continual recruitment of standing dead and downed coarse woody material is absolutely necessary to support the diversity of organisms, including fungi and insects, that in turn provide a productive forest system for woodpeckers and other sensitive wildlife species. </w:t>
      </w:r>
    </w:p>
    <w:p w:rsidR="00793345" w:rsidRPr="00A90AB3" w:rsidRDefault="00793345" w:rsidP="00793345">
      <w:pPr>
        <w:ind w:left="720"/>
      </w:pPr>
      <w:r w:rsidRPr="00A90AB3">
        <w:t>Elimination of deadwood habitat from the forest thus has adverse consequences on bird populations and seriously skews natural predator-prey relationships that may have a major influence on insect populations.</w:t>
      </w:r>
    </w:p>
    <w:p w:rsidR="00793345" w:rsidRDefault="00793345" w:rsidP="00793345">
      <w:pPr>
        <w:rPr>
          <w:rStyle w:val="Hyperlink"/>
        </w:rPr>
      </w:pPr>
      <w:proofErr w:type="spellStart"/>
      <w:r w:rsidRPr="00A90AB3">
        <w:t>Henjum</w:t>
      </w:r>
      <w:proofErr w:type="spellEnd"/>
      <w:r w:rsidRPr="00A90AB3">
        <w:t xml:space="preserve">, M.G., J.R. Karr, D.L. Bottom, D.A. Perry, J.C. </w:t>
      </w:r>
      <w:proofErr w:type="spellStart"/>
      <w:r w:rsidRPr="00A90AB3">
        <w:t>Bednarz</w:t>
      </w:r>
      <w:proofErr w:type="spellEnd"/>
      <w:r w:rsidRPr="00A90AB3">
        <w:t xml:space="preserve">, S.G. Wright, S.A. </w:t>
      </w:r>
      <w:proofErr w:type="spellStart"/>
      <w:r w:rsidRPr="00A90AB3">
        <w:t>Beckwitt</w:t>
      </w:r>
      <w:proofErr w:type="spellEnd"/>
      <w:r w:rsidRPr="00A90AB3">
        <w:t xml:space="preserve">, and E. </w:t>
      </w:r>
      <w:proofErr w:type="spellStart"/>
      <w:r w:rsidRPr="00A90AB3">
        <w:t>Beckwitt</w:t>
      </w:r>
      <w:proofErr w:type="spellEnd"/>
      <w:r w:rsidRPr="00A90AB3">
        <w:t xml:space="preserve">. 1994.  Interim protection for late-successional forests, fisheries, and watersheds: National forests east of the Cascade crest, Oregon and Washington. The Wildlife Society Technical Review 94-2. Bethesda, MD. 245 pp. (aka the report of the Eastside Scientific Societies Panel) </w:t>
      </w:r>
      <w:hyperlink r:id="rId58" w:history="1">
        <w:r w:rsidRPr="00A90AB3">
          <w:rPr>
            <w:rStyle w:val="Hyperlink"/>
          </w:rPr>
          <w:t>http://andykerr.net/downloads/EastsideScien.pdf</w:t>
        </w:r>
      </w:hyperlink>
      <w:r>
        <w:rPr>
          <w:rStyle w:val="Hyperlink"/>
        </w:rPr>
        <w:t>.</w:t>
      </w:r>
    </w:p>
    <w:p w:rsidR="00793345" w:rsidRPr="00CE7EE9" w:rsidRDefault="00793345" w:rsidP="00793345">
      <w:pPr>
        <w:rPr>
          <w:color w:val="0000FF"/>
          <w:u w:val="single"/>
        </w:rPr>
      </w:pPr>
    </w:p>
    <w:p w:rsidR="00793345" w:rsidRPr="00A90AB3" w:rsidRDefault="00793345" w:rsidP="00793345">
      <w:pPr>
        <w:pStyle w:val="BodyTextIndent"/>
        <w:ind w:left="0"/>
      </w:pPr>
      <w:r w:rsidRPr="00A90AB3">
        <w:t>More recent science confirms the finding that forest birds exert some control over forest insect populations.</w:t>
      </w:r>
    </w:p>
    <w:p w:rsidR="00793345" w:rsidRPr="00A90AB3" w:rsidRDefault="00793345" w:rsidP="00793345">
      <w:pPr>
        <w:pStyle w:val="BodyTextIndent"/>
      </w:pPr>
      <w:r w:rsidRPr="00A90AB3">
        <w:t xml:space="preserve">Our calculations presented ... imply that insectivorous birds exert substantial predation pressure on insects and other arthropods, especially in tropical and temperate/boreal forest ecosystems. This is supported by a large number of experimental studies conducted in a variety of habitats in different parts of the world (see </w:t>
      </w:r>
      <w:proofErr w:type="spellStart"/>
      <w:r w:rsidRPr="00A90AB3">
        <w:t>Şekercioğlu</w:t>
      </w:r>
      <w:proofErr w:type="spellEnd"/>
      <w:r w:rsidRPr="00A90AB3">
        <w:t xml:space="preserve"> 2006a, </w:t>
      </w:r>
      <w:proofErr w:type="spellStart"/>
      <w:r w:rsidRPr="00A90AB3">
        <w:t>Mäntylä</w:t>
      </w:r>
      <w:proofErr w:type="spellEnd"/>
      <w:r w:rsidRPr="00A90AB3">
        <w:t xml:space="preserve"> et al. 2011; </w:t>
      </w:r>
      <w:proofErr w:type="spellStart"/>
      <w:r w:rsidRPr="00A90AB3">
        <w:t>Şekercioğlu</w:t>
      </w:r>
      <w:proofErr w:type="spellEnd"/>
      <w:r w:rsidRPr="00A90AB3">
        <w:t xml:space="preserve"> et al. 2016 for reviews) ... Birds in forests account for 75% of the annual prey consumption of the world’s insectivorous birds (≈ 300 million tons year−1; Table 2). Forests cover a large portion of the global terrestrial surface area (41.6 million km2; </w:t>
      </w:r>
      <w:proofErr w:type="spellStart"/>
      <w:r w:rsidRPr="00A90AB3">
        <w:t>Saugier</w:t>
      </w:r>
      <w:proofErr w:type="spellEnd"/>
      <w:r w:rsidRPr="00A90AB3">
        <w:t xml:space="preserve"> et al. 2001), and in these productive and </w:t>
      </w:r>
      <w:proofErr w:type="spellStart"/>
      <w:r w:rsidRPr="00A90AB3">
        <w:t>vegetatively</w:t>
      </w:r>
      <w:proofErr w:type="spellEnd"/>
      <w:r w:rsidRPr="00A90AB3">
        <w:t xml:space="preserve"> complex habitats, birds usually reach higher diversities (</w:t>
      </w:r>
      <w:proofErr w:type="spellStart"/>
      <w:r w:rsidRPr="00A90AB3">
        <w:t>Willson</w:t>
      </w:r>
      <w:proofErr w:type="spellEnd"/>
      <w:r w:rsidRPr="00A90AB3">
        <w:t xml:space="preserve"> 1974) and numbers ha−1 compared to non-forested areas (Gaston et al. 2003). ... To fulfill these huge energy requirements, the insectivorous birds capture billions of potentially harmful herbivorous insects and other arthropods. Only few other predator groups, such as spiders and </w:t>
      </w:r>
      <w:proofErr w:type="spellStart"/>
      <w:r w:rsidRPr="00A90AB3">
        <w:t>entomophagous</w:t>
      </w:r>
      <w:proofErr w:type="spellEnd"/>
      <w:r w:rsidRPr="00A90AB3">
        <w:t xml:space="preserve"> insects, can keep up with the insectivorous birds in their capacity to suppress herbivorous insect populations in a variety of biomes (Table 3; </w:t>
      </w:r>
      <w:proofErr w:type="spellStart"/>
      <w:r w:rsidRPr="00A90AB3">
        <w:t>DeBach</w:t>
      </w:r>
      <w:proofErr w:type="spellEnd"/>
      <w:r w:rsidRPr="00A90AB3">
        <w:t xml:space="preserve"> and Rosen 1991; </w:t>
      </w:r>
      <w:proofErr w:type="spellStart"/>
      <w:r w:rsidRPr="00A90AB3">
        <w:t>Nyffeler</w:t>
      </w:r>
      <w:proofErr w:type="spellEnd"/>
      <w:r w:rsidRPr="00A90AB3">
        <w:t xml:space="preserve"> and </w:t>
      </w:r>
      <w:proofErr w:type="spellStart"/>
      <w:r w:rsidRPr="00A90AB3">
        <w:t>Birkhofer</w:t>
      </w:r>
      <w:proofErr w:type="spellEnd"/>
      <w:r w:rsidRPr="00A90AB3">
        <w:t xml:space="preserve"> 2017). Other predator groups like bats, primates, shrews, hedgehogs, frogs, salamanders, and lizards apparently are less effective natural enemies of herbivorous </w:t>
      </w:r>
      <w:r w:rsidRPr="00A90AB3">
        <w:lastRenderedPageBreak/>
        <w:t>insects (Table 3). Although some of these latter predator groups may exert high predation pressure in a particular biome type ...</w:t>
      </w:r>
    </w:p>
    <w:p w:rsidR="00793345" w:rsidRPr="00A90AB3" w:rsidRDefault="00793345" w:rsidP="00793345">
      <w:proofErr w:type="spellStart"/>
      <w:r w:rsidRPr="00A90AB3">
        <w:t>Nyffeler</w:t>
      </w:r>
      <w:proofErr w:type="spellEnd"/>
      <w:r w:rsidRPr="00A90AB3">
        <w:t xml:space="preserve">, M., </w:t>
      </w:r>
      <w:proofErr w:type="spellStart"/>
      <w:r w:rsidRPr="00A90AB3">
        <w:t>Şekercioğlu</w:t>
      </w:r>
      <w:proofErr w:type="spellEnd"/>
      <w:r w:rsidRPr="00A90AB3">
        <w:t xml:space="preserve">, Ç.H. &amp; Whelan, C.J. Insectivorous birds consume an estimated 400–500 million tons of prey annually. </w:t>
      </w:r>
      <w:proofErr w:type="spellStart"/>
      <w:r w:rsidRPr="00A90AB3">
        <w:t>Sci</w:t>
      </w:r>
      <w:proofErr w:type="spellEnd"/>
      <w:r w:rsidRPr="00A90AB3">
        <w:t xml:space="preserve"> Nat (2018) 105: 47. </w:t>
      </w:r>
      <w:hyperlink r:id="rId59" w:history="1">
        <w:r w:rsidRPr="00A90AB3">
          <w:rPr>
            <w:rStyle w:val="Hyperlink"/>
          </w:rPr>
          <w:t>https://doi.org/10.1007/s00114-018-1571-z</w:t>
        </w:r>
      </w:hyperlink>
      <w:r w:rsidRPr="00A90AB3">
        <w:t xml:space="preserve">; </w:t>
      </w:r>
      <w:hyperlink r:id="rId60" w:history="1">
        <w:r w:rsidRPr="00A90AB3">
          <w:rPr>
            <w:rStyle w:val="Hyperlink"/>
          </w:rPr>
          <w:t>https://link.springer.com/content/pdf/10.1007%2Fs00114-018-1571-z.pdf</w:t>
        </w:r>
      </w:hyperlink>
      <w:r>
        <w:t>.</w:t>
      </w:r>
    </w:p>
    <w:p w:rsidR="00793345" w:rsidRDefault="00793345" w:rsidP="00793345"/>
    <w:p w:rsidR="0025001E" w:rsidRDefault="00793345" w:rsidP="008D4530">
      <w:r w:rsidRPr="00A90AB3">
        <w:t xml:space="preserve">The existing snag standard might be technically outdated, but the FS is throwing the baby out with the bath water by eliminating the aspirational goal for maximum populations of cavity excavators </w:t>
      </w:r>
      <w:r>
        <w:t xml:space="preserve">and insect predators </w:t>
      </w:r>
      <w:r w:rsidRPr="00A90AB3">
        <w:t xml:space="preserve">needed to maintain resilient forests. If the FS was true to its word, it would be retaining the aspirational goals related to snag associated wildlife and </w:t>
      </w:r>
      <w:r>
        <w:t>meet those</w:t>
      </w:r>
      <w:r w:rsidRPr="00A90AB3">
        <w:t xml:space="preserve"> goal</w:t>
      </w:r>
      <w:r>
        <w:t>s</w:t>
      </w:r>
      <w:r w:rsidRPr="00A90AB3">
        <w:t xml:space="preserve"> </w:t>
      </w:r>
      <w:r>
        <w:t xml:space="preserve">by </w:t>
      </w:r>
      <w:r w:rsidRPr="00A90AB3">
        <w:t xml:space="preserve">adopting a new standards </w:t>
      </w:r>
      <w:r>
        <w:t xml:space="preserve">that are aligned with </w:t>
      </w:r>
      <w:r w:rsidRPr="00A90AB3">
        <w:t>the latest science and information</w:t>
      </w:r>
      <w:r>
        <w:t>, e.g., DecAID</w:t>
      </w:r>
      <w:r w:rsidRPr="00A90AB3">
        <w:t>. Instead the Forest Service is eliminating the goal and adopting a new standard so vague that anything goes. This directly undermines the stated intent to restore resilience</w:t>
      </w:r>
      <w:r>
        <w:t xml:space="preserve"> and retain the fundamental goals of the screens.</w:t>
      </w:r>
    </w:p>
    <w:p w:rsidR="0025001E" w:rsidRDefault="0025001E" w:rsidP="0025001E">
      <w:pPr>
        <w:pStyle w:val="Heading2"/>
      </w:pPr>
      <w:bookmarkStart w:id="27" w:name="_Toc53483528"/>
      <w:r>
        <w:t>SNAGS AND DOWN WOOD EFFECTS ANALYSIS</w:t>
      </w:r>
      <w:bookmarkEnd w:id="27"/>
    </w:p>
    <w:p w:rsidR="0025001E" w:rsidRDefault="0025001E" w:rsidP="0025001E">
      <w:r>
        <w:t>The EA lacks any meaningful species-specific analysis of the effects of large tree removal on the many wildlife that use large snags. Many of the affected wildlife are of conservation concern.</w:t>
      </w:r>
    </w:p>
    <w:p w:rsidR="00EE1DAC" w:rsidRDefault="00EE1DAC" w:rsidP="0025001E"/>
    <w:p w:rsidR="0025001E" w:rsidRDefault="0025001E" w:rsidP="0025001E">
      <w:r>
        <w:t xml:space="preserve">The EA failed to provide a meaningful analysis of effects of removing large trees on long-term recruitment of snags and down wood. The Eastside Screens were adopted in part due to concerns about loss of snag that provide a wide variety of important ecosystem services. In particular, large snags serve as habitat for cavity excavators that are keystone species in eastside forests, because they excavate nesting cavities used by a wide variety of other wildlife, some of which prey on insects that can harm trees. Maintaining abundant large snags for cavity excavators is a necessary precondition to a healthy, resilient forest with healthy relationships between predators and prey, and healthy trees. See Everett et al (1994) and </w:t>
      </w:r>
      <w:proofErr w:type="spellStart"/>
      <w:r>
        <w:t>Henjum</w:t>
      </w:r>
      <w:proofErr w:type="spellEnd"/>
      <w:r>
        <w:t xml:space="preserve"> et al (1994) (above). Importantly, shade-tolerant tree species, such as grand fir/white fir are disproportionally valuable for cavity excavators because those tree species tend to more readily form cavities. </w:t>
      </w:r>
    </w:p>
    <w:p w:rsidR="00EE1DAC" w:rsidRDefault="00EE1DAC" w:rsidP="0025001E"/>
    <w:p w:rsidR="0025001E" w:rsidRDefault="0025001E" w:rsidP="0025001E">
      <w:r>
        <w:t>The analysis failed to describe existing large snag abundance using the best available science, e.g., in terms of DecAID tolerance levels. Figure 19 and Table 15 are not informative about existing snag habitat values to wildlife. Reporting acres with at least one snag larger than 20” dbh has almost no biological significant because many snag-associated wildlife require habitat with far more than 1 snag per acre.</w:t>
      </w:r>
    </w:p>
    <w:p w:rsidR="00EE1DAC" w:rsidRDefault="00EE1DAC" w:rsidP="0025001E"/>
    <w:p w:rsidR="0025001E" w:rsidRDefault="0025001E" w:rsidP="0025001E">
      <w:r>
        <w:t>One concerning observation that can be drawn from the limited data presented in the EA is that snag habitat is not increasing on the same trend as large trees. The EA says that large trees are increasing but snags show little to no improvement. EA (p 74) “</w:t>
      </w:r>
      <w:r w:rsidRPr="00AF3E30">
        <w:t>Although a slight increase in large snag abundance was observed for each WHT</w:t>
      </w:r>
      <w:r>
        <w:t xml:space="preserve"> [wildlife habitat type]</w:t>
      </w:r>
      <w:r w:rsidRPr="00AF3E30">
        <w:t>, the degree of change was not significant over the 1995-2017 time period.</w:t>
      </w:r>
      <w:r>
        <w:t xml:space="preserve">” This is of concern because abundant large </w:t>
      </w:r>
      <w:r>
        <w:lastRenderedPageBreak/>
        <w:t xml:space="preserve">snags and down wood are defining features of old growth forests that the Screens are designed to conserve and restore. See USDA/USDI. ICBEMP SDEIS. Appendix 17a – Definitions of Old Forest. </w:t>
      </w:r>
      <w:hyperlink r:id="rId61" w:history="1">
        <w:r w:rsidRPr="00C6188E">
          <w:rPr>
            <w:rStyle w:val="Hyperlink"/>
          </w:rPr>
          <w:t>https://web.archive.org/web/20161221104651/http://www.icbemp.gov/pdfs/sdeis/volume2/appendix17a.pdf</w:t>
        </w:r>
      </w:hyperlink>
      <w:r>
        <w:t xml:space="preserve">. This highlights the potential value of an no-action sub-alternative that converts some of the large young shade-tolerant trees to snags. </w:t>
      </w:r>
    </w:p>
    <w:p w:rsidR="0025001E" w:rsidRDefault="0025001E" w:rsidP="0025001E">
      <w:pPr>
        <w:spacing w:line="240" w:lineRule="auto"/>
      </w:pPr>
    </w:p>
    <w:p w:rsidR="0025001E" w:rsidRDefault="0025001E" w:rsidP="0025001E">
      <w:r>
        <w:t xml:space="preserve">The EA failed to provide an analysis of effects to down wood. EA (p 75) says “because this amendment will not change any of the standards or portions of the standards relative to down wood, an in-depth down wood analysis was not conducted.” This is grossly illogical and misleading. Large down wood is a critically important feature of old growth forests. 100% of large down wood is recruited from the pool of large live green trees. This proposed plan amendment will modify green tree management to allow removal of large trees, and that will </w:t>
      </w:r>
      <w:r w:rsidRPr="002A6CB6">
        <w:rPr>
          <w:i/>
        </w:rPr>
        <w:t>unavoidably reduce recruitment of large down wood</w:t>
      </w:r>
      <w:r>
        <w:t xml:space="preserve">. Failing to take a hard look at this issue is a serious flaw in the NEPA analysis. NEPA requires federal agencies to rely upon “high quality information,” “accurate scientific analysis” 40 C.F.R. § 1500.1(b), and </w:t>
      </w:r>
      <w:r w:rsidRPr="00332942">
        <w:t>“full and fair discussion of significant</w:t>
      </w:r>
      <w:r>
        <w:t xml:space="preserve"> </w:t>
      </w:r>
      <w:r w:rsidRPr="00332942">
        <w:t>environmental impacts,” 40 C.F.R. § 1502.1</w:t>
      </w:r>
      <w:r>
        <w:t>.</w:t>
      </w:r>
    </w:p>
    <w:p w:rsidR="00EE1DAC" w:rsidRDefault="00EE1DAC" w:rsidP="0025001E"/>
    <w:p w:rsidR="0025001E" w:rsidRDefault="0025001E" w:rsidP="0025001E">
      <w:r>
        <w:t xml:space="preserve">The effects analysis comparing the snag habitat effects of the proposed action to no action is highly misleading. </w:t>
      </w:r>
    </w:p>
    <w:tbl>
      <w:tblPr>
        <w:tblStyle w:val="TableGrid"/>
        <w:tblW w:w="0" w:type="auto"/>
        <w:tblLook w:val="04A0" w:firstRow="1" w:lastRow="0" w:firstColumn="1" w:lastColumn="0" w:noHBand="0" w:noVBand="1"/>
      </w:tblPr>
      <w:tblGrid>
        <w:gridCol w:w="4788"/>
        <w:gridCol w:w="4770"/>
      </w:tblGrid>
      <w:tr w:rsidR="0025001E" w:rsidTr="00E17639">
        <w:tc>
          <w:tcPr>
            <w:tcW w:w="9558" w:type="dxa"/>
            <w:gridSpan w:val="2"/>
          </w:tcPr>
          <w:p w:rsidR="0025001E" w:rsidRPr="00181932" w:rsidRDefault="0025001E" w:rsidP="00E17639">
            <w:pPr>
              <w:jc w:val="center"/>
              <w:rPr>
                <w:b/>
              </w:rPr>
            </w:pPr>
            <w:r w:rsidRPr="00181932">
              <w:rPr>
                <w:b/>
              </w:rPr>
              <w:t>Eastside Screens Amendment EA Analysis of Snags</w:t>
            </w:r>
          </w:p>
        </w:tc>
      </w:tr>
      <w:tr w:rsidR="0025001E" w:rsidTr="00E17639">
        <w:tc>
          <w:tcPr>
            <w:tcW w:w="4788" w:type="dxa"/>
          </w:tcPr>
          <w:p w:rsidR="0025001E" w:rsidRDefault="0025001E" w:rsidP="00E17639">
            <w:r>
              <w:t>No Action Effects on Snags</w:t>
            </w:r>
          </w:p>
        </w:tc>
        <w:tc>
          <w:tcPr>
            <w:tcW w:w="4770" w:type="dxa"/>
          </w:tcPr>
          <w:p w:rsidR="0025001E" w:rsidRDefault="0025001E" w:rsidP="00E17639">
            <w:r>
              <w:t>Proposed Action Effects on Snags</w:t>
            </w:r>
          </w:p>
        </w:tc>
      </w:tr>
      <w:tr w:rsidR="0025001E" w:rsidTr="00E17639">
        <w:tc>
          <w:tcPr>
            <w:tcW w:w="4788" w:type="dxa"/>
          </w:tcPr>
          <w:p w:rsidR="0025001E" w:rsidRDefault="0025001E" w:rsidP="00E17639">
            <w:r>
              <w:rPr>
                <w:sz w:val="23"/>
                <w:szCs w:val="23"/>
              </w:rPr>
              <w:t xml:space="preserve">“This alternative also includes management direction for large snags and green tree replacements, but desired snag levels are based on outdated scientific information (e.g., population potential for primary cavity excavators) that limits the contribution to the viability of species associated with snag habitats (Bull and </w:t>
            </w:r>
            <w:proofErr w:type="spellStart"/>
            <w:r>
              <w:rPr>
                <w:sz w:val="23"/>
                <w:szCs w:val="23"/>
              </w:rPr>
              <w:t>Holthausen</w:t>
            </w:r>
            <w:proofErr w:type="spellEnd"/>
            <w:r>
              <w:rPr>
                <w:sz w:val="23"/>
                <w:szCs w:val="23"/>
              </w:rPr>
              <w:t xml:space="preserve"> 1993) and does not provide specific guidelines on characteristics that optimize snag recruitment through green tree retention.” (EA p 81).</w:t>
            </w:r>
          </w:p>
        </w:tc>
        <w:tc>
          <w:tcPr>
            <w:tcW w:w="4770" w:type="dxa"/>
          </w:tcPr>
          <w:p w:rsidR="0025001E" w:rsidRDefault="0025001E" w:rsidP="00E17639">
            <w:pPr>
              <w:pStyle w:val="Default"/>
            </w:pPr>
            <w:r>
              <w:rPr>
                <w:sz w:val="23"/>
                <w:szCs w:val="23"/>
              </w:rPr>
              <w:t>“This alternative also includes management direction to retain large (&gt;20 inches dbh) snags and to manage green tree replacements based on recent science (Mellen-McLean et al. 2017), or requires that a snag habitat assessment using best available science be completed to maintain or increase habitat for snag dependent species and provides an important structural component of habitat for LOS associated species.” (EA p 83)</w:t>
            </w:r>
          </w:p>
        </w:tc>
      </w:tr>
    </w:tbl>
    <w:p w:rsidR="0025001E" w:rsidRDefault="0025001E" w:rsidP="0025001E"/>
    <w:p w:rsidR="0025001E" w:rsidRDefault="0025001E" w:rsidP="0025001E">
      <w:r>
        <w:t>The existing screens require the FS to “</w:t>
      </w:r>
      <w:r w:rsidRPr="00281CA4">
        <w:t xml:space="preserve">maintain snags and green replacement trees of ≥ 21 inches dbh </w:t>
      </w:r>
      <w:r>
        <w:t xml:space="preserve">... </w:t>
      </w:r>
      <w:r w:rsidRPr="00281CA4">
        <w:t>at 100% potential population levels of primary cavity excavators. This should be determined using the best available science on species requirements</w:t>
      </w:r>
      <w:r>
        <w:t xml:space="preserve"> …”  While it is true that the “potential population” methodology referenced in the Screens is outdated, as explained below, the FS has proposed a new standard that references the same flawed methodology, so all alternatives are equally flawed in that regard. The FS can’t fault the Screens for using outdated science because the proposed action has the same problem. The FS failed to consider any alternatives that adopt new snag and green standards based on current science, and stop referencing the outdated “potential population” methodology.</w:t>
      </w:r>
    </w:p>
    <w:p w:rsidR="00EE1DAC" w:rsidRDefault="00EE1DAC" w:rsidP="0025001E"/>
    <w:p w:rsidR="0025001E" w:rsidRDefault="0025001E" w:rsidP="0025001E">
      <w:r>
        <w:t>The EA’s other criticisms of the existing screens are also misplaced. Contrary to the EA, the screens do address green tree replacement (better than the proposed new standard). Under current management the screens require the Forest Service to maintain enough green trees to maintain large, healthy populations of cavity excavators, based on the best available science regarding those species’ habitat requirements.  As explained in detail below, the new proposed green tree standards are flawed and based on vague terms like “</w:t>
      </w:r>
      <w:r w:rsidRPr="00A71D58">
        <w:t>LOS</w:t>
      </w:r>
      <w:r>
        <w:t xml:space="preserve"> </w:t>
      </w:r>
      <w:r w:rsidRPr="00A71D58">
        <w:t>objectives</w:t>
      </w:r>
      <w:r>
        <w:t>”</w:t>
      </w:r>
      <w:r w:rsidRPr="00A71D58">
        <w:t xml:space="preserve"> and </w:t>
      </w:r>
      <w:r>
        <w:t>“</w:t>
      </w:r>
      <w:r w:rsidRPr="00A71D58">
        <w:t>wildlife tree</w:t>
      </w:r>
      <w:r>
        <w:t xml:space="preserve"> </w:t>
      </w:r>
      <w:r w:rsidRPr="00A71D58">
        <w:t>objectives</w:t>
      </w:r>
      <w:r>
        <w:t>.</w:t>
      </w:r>
      <w:r w:rsidRPr="00FD7B46">
        <w:t>”</w:t>
      </w:r>
      <w:r>
        <w:t xml:space="preserve"> Science can aid the agency in its pursuit of clear goals, but how does one use the best science to achieve an ambiguous goal? This is not an improvement.</w:t>
      </w:r>
    </w:p>
    <w:p w:rsidR="00EE1DAC" w:rsidRDefault="00EE1DAC" w:rsidP="0025001E"/>
    <w:p w:rsidR="0025001E" w:rsidRDefault="0025001E" w:rsidP="0025001E">
      <w:r>
        <w:t xml:space="preserve">The existing screens explicitly require use of “best available science” in all projects, the new standard only requires use of best available science when the FS chooses not to retain all large snags. Current management requires use of science </w:t>
      </w:r>
      <w:r w:rsidRPr="00C3045F">
        <w:rPr>
          <w:i/>
        </w:rPr>
        <w:t>always</w:t>
      </w:r>
      <w:r>
        <w:t xml:space="preserve">, while the proposed action only requires use of science </w:t>
      </w:r>
      <w:r w:rsidRPr="00C3045F">
        <w:rPr>
          <w:i/>
        </w:rPr>
        <w:t>sometimes</w:t>
      </w:r>
      <w:r>
        <w:t>. That’s not an improvement.</w:t>
      </w:r>
    </w:p>
    <w:p w:rsidR="00EE1DAC" w:rsidRDefault="00EE1DAC" w:rsidP="0025001E"/>
    <w:p w:rsidR="0025001E" w:rsidRDefault="0025001E" w:rsidP="0025001E">
      <w:r>
        <w:t>The EA describes the amended snag standard as an improvement for snag habitat when it is most certainly a step backward. The EA (p 13, and Appendix B, pp 146-149) advances a single proposed amendment to snag standards that is common to all alternatives, and that new standard is terribly ineffective. The proposed amendment would require managers to retain all non-hazardous snags over 20” dbh, OR prepare a snag analysis. There are several problems with these new standards.</w:t>
      </w:r>
    </w:p>
    <w:p w:rsidR="00EE1DAC" w:rsidRDefault="00EE1DAC" w:rsidP="0025001E"/>
    <w:p w:rsidR="0025001E" w:rsidRDefault="0025001E" w:rsidP="0025001E">
      <w:r>
        <w:t>It must be emphasized that r</w:t>
      </w:r>
      <w:r w:rsidRPr="00BC60E7">
        <w:t xml:space="preserve">etaining </w:t>
      </w:r>
      <w:r>
        <w:t xml:space="preserve">all </w:t>
      </w:r>
      <w:r w:rsidRPr="00BC60E7">
        <w:t xml:space="preserve">snags &gt;20” dbh does little to conserve and restore snag habitat </w:t>
      </w:r>
      <w:r>
        <w:t>over the long term for several reasons. First,</w:t>
      </w:r>
      <w:r w:rsidRPr="00BC60E7">
        <w:t xml:space="preserve"> because snags </w:t>
      </w:r>
      <w:r>
        <w:t xml:space="preserve">in and near </w:t>
      </w:r>
      <w:r w:rsidRPr="00BC60E7">
        <w:t xml:space="preserve">harvest units </w:t>
      </w:r>
      <w:r>
        <w:t xml:space="preserve">and </w:t>
      </w:r>
      <w:proofErr w:type="spellStart"/>
      <w:r>
        <w:t>along</w:t>
      </w:r>
      <w:proofErr w:type="spellEnd"/>
      <w:r>
        <w:t xml:space="preserve"> haul routes </w:t>
      </w:r>
      <w:r w:rsidRPr="00BC60E7">
        <w:t>are always at risk of being cut down as hazard trees, and worker safety trumps ecology</w:t>
      </w:r>
      <w:r>
        <w:t xml:space="preserve">. The snag dynamics white paper on the DecAID website indicates that timber harvest typically results in the loss of a majority of the standing snags (62% of snags within a variety of timber harvest areas were cut down.) </w:t>
      </w:r>
      <w:hyperlink r:id="rId62" w:history="1">
        <w:r>
          <w:rPr>
            <w:rStyle w:val="Hyperlink"/>
            <w:iCs/>
          </w:rPr>
          <w:t>http://web.archive.org/web/20060520051245/http://wwwnotes.fs.fed.us:81/pnw/DecAID/DecAID.nsf/HomePageLinks/863EEA66F39752C088256C02007DF2C0?OpenDocument</w:t>
        </w:r>
      </w:hyperlink>
      <w:r>
        <w:t xml:space="preserve">. </w:t>
      </w:r>
    </w:p>
    <w:p w:rsidR="00EE1DAC" w:rsidRDefault="00EE1DAC" w:rsidP="0025001E"/>
    <w:p w:rsidR="0025001E" w:rsidRDefault="0025001E" w:rsidP="0025001E">
      <w:r>
        <w:t xml:space="preserve">Second, </w:t>
      </w:r>
      <w:r w:rsidRPr="00BC60E7">
        <w:t xml:space="preserve">snags are in a state of progressive decay, and tend to be short-lived, so they fall down and must be replaced by new recruits, which is why “green tree replacement” standards are so critical. </w:t>
      </w:r>
      <w:r>
        <w:t>Even if all the existing snags in a timber sale are retained, there will not be enough snags in the future unless enough green trees are retained (and allow to die in the forest). Over the long term, the provision of snag habitat is much more dependent on green tree management, rather than how snags are treated during logging. See below.</w:t>
      </w:r>
    </w:p>
    <w:p w:rsidR="00EE1DAC" w:rsidRDefault="00EE1DAC" w:rsidP="0025001E"/>
    <w:p w:rsidR="0025001E" w:rsidRPr="00BC60E7" w:rsidRDefault="0025001E" w:rsidP="0025001E">
      <w:r>
        <w:t xml:space="preserve">The EA effects analysis cites </w:t>
      </w:r>
      <w:r w:rsidRPr="00DC0BCF">
        <w:t>Mellen-McLean</w:t>
      </w:r>
      <w:r>
        <w:t xml:space="preserve"> (2017) but this publication is not cited in either the snag standard set forth in Appendix B, nor is it found in the “literature cited” section of the EA. </w:t>
      </w:r>
      <w:r>
        <w:lastRenderedPageBreak/>
        <w:t>Is this meant to be a reference to DecAID? If so, it should be made explicit in the standard (not just in the EA analysis) and it should inform snag and green tree management in all projects, not just when the FS chooses not to retain all large snags. And at its core DecAID is not a standard. DecAID does not advise the agencies to manage for any particular tolerance level. DecAID is just information, like a menu of options from good snag habitat to bad snag habitat. The agency has to decide what tolerance level to manage for, and making that selection is an appropriate function of this plan amendment. Unless the FS identifies appropriate tolerance levels for each land allocation as part of this plan amendment, the reference to DecAID in the EA offers no substantive guidance on the number of snags and green trees that should be retained during project planning. While it is true that the DecAID tolerance levels cannot be directly translated to “potential population” requirements in the Eastside Screens, it should be obvious that 100% potential population is much more like “high” assurance than moderate or low assurance, so the Forest Service should be striving to meet at least 80% DecAID tolerance levels which provide a high level of assurance of meeting the needs of primary cavity excavators consistent with the Eastside Screens requirement to maintain enough snags to support 100% potential populations.</w:t>
      </w:r>
    </w:p>
    <w:p w:rsidR="00EE1DAC" w:rsidRDefault="00EE1DAC" w:rsidP="0025001E"/>
    <w:p w:rsidR="0025001E" w:rsidRDefault="0025001E" w:rsidP="0025001E">
      <w:r w:rsidRPr="00BC60E7">
        <w:t xml:space="preserve">The </w:t>
      </w:r>
      <w:r>
        <w:t xml:space="preserve">alternative </w:t>
      </w:r>
      <w:r w:rsidRPr="00BC60E7">
        <w:t>snag analysis r</w:t>
      </w:r>
      <w:r>
        <w:t>equirement described in EA Appendix B (p 147) fails to provide a robust snag standard of any kind. It basically says, maintain all snags &gt;21” dbh OR “c</w:t>
      </w:r>
      <w:r w:rsidRPr="00BC60E7">
        <w:t>omplete a snag analysis using</w:t>
      </w:r>
      <w:r>
        <w:t xml:space="preserve"> </w:t>
      </w:r>
      <w:r w:rsidRPr="00BC60E7">
        <w:t>the best available science on snag</w:t>
      </w:r>
      <w:r>
        <w:t>-</w:t>
      </w:r>
      <w:r w:rsidRPr="00BC60E7">
        <w:t>dependent species ecological</w:t>
      </w:r>
      <w:r>
        <w:t xml:space="preserve"> </w:t>
      </w:r>
      <w:r w:rsidRPr="00BC60E7">
        <w:t>requirements as applied through</w:t>
      </w:r>
      <w:r>
        <w:t xml:space="preserve"> </w:t>
      </w:r>
      <w:r w:rsidRPr="00BC60E7">
        <w:t>current snag tools, models, or other</w:t>
      </w:r>
      <w:r>
        <w:t xml:space="preserve"> </w:t>
      </w:r>
      <w:r w:rsidRPr="00BC60E7">
        <w:t>documented procedures to</w:t>
      </w:r>
      <w:r>
        <w:t xml:space="preserve"> </w:t>
      </w:r>
      <w:r w:rsidRPr="00BC60E7">
        <w:t>maintain or increase habitat for a</w:t>
      </w:r>
      <w:r>
        <w:t xml:space="preserve"> </w:t>
      </w:r>
      <w:r w:rsidRPr="00BC60E7">
        <w:t>diverse composition of wildlife</w:t>
      </w:r>
      <w:r>
        <w:t xml:space="preserve"> </w:t>
      </w:r>
      <w:r w:rsidRPr="00BC60E7">
        <w:t>species</w:t>
      </w:r>
      <w:r>
        <w:t xml:space="preserve">.” This is </w:t>
      </w:r>
      <w:r w:rsidRPr="00BC60E7">
        <w:t xml:space="preserve">merely a procedural requirement with no real substance to it. </w:t>
      </w:r>
      <w:r>
        <w:t xml:space="preserve">It fails to offer any clear guidance on how many snags and green trees should be provided. The new standard does not require use of DecAID or reference any of its “tolerance levels” as a new standard to replace the outdated 100% potential population standard. It does not establish snag recruitment goals that would ensure viability of snag associated wildlife. </w:t>
      </w:r>
      <w:r w:rsidRPr="00BC60E7">
        <w:t xml:space="preserve">At its core, </w:t>
      </w:r>
      <w:r>
        <w:t xml:space="preserve">the new standard </w:t>
      </w:r>
      <w:r w:rsidRPr="00BC60E7">
        <w:t>simply requires managers to “maintain or increase habitat for a diverse composition of wildlife species.” So, it’s not even about snag-associated wildlife. The FS could comply with this standard by providing a small amount of snag habitat, and increasing habitat for some entirely different suite of species that depends on open forest, grasslands, wetlands, talus, etc. As a snag standard, this does not pass the laugh test.</w:t>
      </w:r>
      <w:r>
        <w:t xml:space="preserve"> As the significant weaknesses of this new standard become apparent it will generate significant social conflict and controversy. The deeply flawed snag standard is another indicator of the significant of this proposed plan amendment and the need for an EIS.</w:t>
      </w:r>
    </w:p>
    <w:p w:rsidR="00EE1DAC" w:rsidRDefault="00EE1DAC" w:rsidP="0025001E"/>
    <w:p w:rsidR="0025001E" w:rsidRDefault="0025001E" w:rsidP="0025001E">
      <w:r>
        <w:t>The new snag and green tree standard is so poorly crafted that we seriously doubt the final draft will look anything like the draft in the EA, so we are concerned that there will not be a meaningful opportunity to comment on this important aspect of the proposed plan amendment. The FS should prepare another drat NEPA document with a more rational and defensible draft snag standard (and related effects analysis), and provide a meaningful opportunity for public comment on that.</w:t>
      </w:r>
    </w:p>
    <w:p w:rsidR="00EE1DAC" w:rsidRDefault="00EE1DAC" w:rsidP="0025001E"/>
    <w:p w:rsidR="0025001E" w:rsidRDefault="0025001E" w:rsidP="0025001E">
      <w:r w:rsidRPr="003651C9">
        <w:t>For green tree retention, the proposed amendment would require</w:t>
      </w:r>
      <w:r>
        <w:t xml:space="preserve"> managers to</w:t>
      </w:r>
      <w:r w:rsidRPr="00FD7B46">
        <w:t xml:space="preserve"> “</w:t>
      </w:r>
      <w:r w:rsidRPr="00A71D58">
        <w:t>Retain and recruit large trees of the</w:t>
      </w:r>
      <w:r>
        <w:t xml:space="preserve"> </w:t>
      </w:r>
      <w:r w:rsidRPr="00A71D58">
        <w:t>appropriate species and spatial</w:t>
      </w:r>
      <w:r>
        <w:t xml:space="preserve"> </w:t>
      </w:r>
      <w:r w:rsidRPr="00A71D58">
        <w:t>arrangements to meet LOS</w:t>
      </w:r>
      <w:r>
        <w:t xml:space="preserve"> </w:t>
      </w:r>
      <w:r w:rsidRPr="00A71D58">
        <w:t>objectives and wildlife tree</w:t>
      </w:r>
      <w:r>
        <w:t xml:space="preserve"> </w:t>
      </w:r>
      <w:r w:rsidRPr="00A71D58">
        <w:t>objectives</w:t>
      </w:r>
      <w:r>
        <w:t>.</w:t>
      </w:r>
      <w:r w:rsidRPr="00FD7B46">
        <w:t xml:space="preserve">” </w:t>
      </w:r>
      <w:r>
        <w:t>This raises numerous significant concerns.</w:t>
      </w:r>
    </w:p>
    <w:p w:rsidR="0025001E" w:rsidRDefault="0025001E" w:rsidP="0025001E">
      <w:pPr>
        <w:pStyle w:val="ListParagraph"/>
        <w:numPr>
          <w:ilvl w:val="0"/>
          <w:numId w:val="7"/>
        </w:numPr>
        <w:spacing w:after="200"/>
        <w:ind w:left="360"/>
      </w:pPr>
      <w:r>
        <w:t xml:space="preserve">Referencing “LOS objectives” In the snag standard is vague, self-referential, and tautological, and </w:t>
      </w:r>
      <w:r w:rsidRPr="00FD7B46">
        <w:t xml:space="preserve">is indistinguishable from the overall goals of the Screens, adding nothing new to ensure </w:t>
      </w:r>
      <w:r>
        <w:t xml:space="preserve">retention of </w:t>
      </w:r>
      <w:r w:rsidRPr="00FD7B46">
        <w:t xml:space="preserve">adequate numbers of green trees </w:t>
      </w:r>
      <w:r>
        <w:t xml:space="preserve">specifically </w:t>
      </w:r>
      <w:r w:rsidRPr="00FD7B46">
        <w:t>to meet snag objectives over time.</w:t>
      </w:r>
      <w:r>
        <w:t xml:space="preserve"> LOS basically just means “large trees are common” but this amendment encourages such trees to be removed. The definition of LOS in Table 1 of the Screens does not explicitly reference snags, nor does it quantify the number of medium and large trees that need to be maintained to ensure adequate snag recruitment over time. That’s why the Screens had a separate snag and green tree standard (which this amendment will eliminate). Such a vague green tree standard offers no meaningful guidance to managers about how many medium and large trees to retain or when they might remove too many green trees. </w:t>
      </w:r>
    </w:p>
    <w:p w:rsidR="0025001E" w:rsidRPr="00681A68" w:rsidRDefault="0025001E" w:rsidP="0025001E">
      <w:pPr>
        <w:pStyle w:val="ListParagraph"/>
        <w:numPr>
          <w:ilvl w:val="0"/>
          <w:numId w:val="7"/>
        </w:numPr>
        <w:spacing w:after="200"/>
        <w:ind w:left="360"/>
      </w:pPr>
      <w:r>
        <w:t xml:space="preserve">The reference to “wildlife tree objectives” is has to be a mistake because the relevant LRMP’s all have wildlife tree objectives based on the discredited “potential population” methodology. </w:t>
      </w:r>
      <w:r w:rsidRPr="00681A68">
        <w:t>Instead of shifting from the scientifically discredited “</w:t>
      </w:r>
      <w:r>
        <w:t xml:space="preserve">100% </w:t>
      </w:r>
      <w:r w:rsidRPr="00681A68">
        <w:t xml:space="preserve">potential population” standards </w:t>
      </w:r>
      <w:r>
        <w:t xml:space="preserve">currently in the Screens </w:t>
      </w:r>
      <w:r w:rsidRPr="00681A68">
        <w:t xml:space="preserve">to </w:t>
      </w:r>
      <w:r>
        <w:t xml:space="preserve">new </w:t>
      </w:r>
      <w:r w:rsidRPr="00681A68">
        <w:t xml:space="preserve">standards based on best available science </w:t>
      </w:r>
      <w:r>
        <w:t>(</w:t>
      </w:r>
      <w:r w:rsidRPr="00681A68">
        <w:t>such as DecAID</w:t>
      </w:r>
      <w:r>
        <w:t>)</w:t>
      </w:r>
      <w:r w:rsidRPr="00681A68">
        <w:t xml:space="preserve">, the FS appears to be reverting to </w:t>
      </w:r>
      <w:r>
        <w:t xml:space="preserve">lower and equally </w:t>
      </w:r>
      <w:r w:rsidRPr="00681A68">
        <w:t xml:space="preserve">unscientific </w:t>
      </w:r>
      <w:r>
        <w:t xml:space="preserve">(40-60% potential population) </w:t>
      </w:r>
      <w:r w:rsidRPr="00681A68">
        <w:t xml:space="preserve">standards that are even worse than the </w:t>
      </w:r>
      <w:r>
        <w:t xml:space="preserve">existing Screens </w:t>
      </w:r>
      <w:r w:rsidRPr="00681A68">
        <w:t>standard</w:t>
      </w:r>
      <w:r>
        <w:t>. The EA (p 81) says of the existing Screens “</w:t>
      </w:r>
      <w:r w:rsidRPr="00AC3F58">
        <w:t xml:space="preserve">desired snag levels are based on outdated scientific information (e.g., population potential for primary cavity excavators) that limits the contribution to the viability of species associated with snag habitats (Bull and </w:t>
      </w:r>
      <w:proofErr w:type="spellStart"/>
      <w:r w:rsidRPr="00AC3F58">
        <w:t>Holthausen</w:t>
      </w:r>
      <w:proofErr w:type="spellEnd"/>
      <w:r w:rsidRPr="00AC3F58">
        <w:t xml:space="preserve"> 1993)</w:t>
      </w:r>
      <w:r>
        <w:t xml:space="preserve">.” This criticism applies equally to the proposed action, because the new standards rely on the exact same flawed methods, and call for retention of even fewer snags and green trees. </w:t>
      </w:r>
      <w:r w:rsidRPr="00681A68">
        <w:t xml:space="preserve">“Wildlife tree objectives” are not </w:t>
      </w:r>
      <w:r>
        <w:t xml:space="preserve">explicitly </w:t>
      </w:r>
      <w:r w:rsidRPr="00681A68">
        <w:t>defined in the EA</w:t>
      </w:r>
      <w:r>
        <w:t>, but “wildlife tree” is a term of art found in the underlying LRMPs. For example, s</w:t>
      </w:r>
      <w:r w:rsidRPr="00681A68">
        <w:t>ee Deschutes LRMP M3-13</w:t>
      </w:r>
      <w:r>
        <w:t>, M5-11, M20-13, M27-12</w:t>
      </w:r>
      <w:r w:rsidRPr="00681A68">
        <w:t xml:space="preserve"> (</w:t>
      </w:r>
      <w:r>
        <w:t xml:space="preserve">e.g., </w:t>
      </w:r>
      <w:r w:rsidRPr="00681A68">
        <w:t>“M3-13 Snags, and the live trees needed for future snags, will be maintained for 60 percent of the maxi</w:t>
      </w:r>
      <w:r>
        <w:t>mum potential populati</w:t>
      </w:r>
      <w:r w:rsidRPr="00681A68">
        <w:t xml:space="preserve">on of primary cavity nesting </w:t>
      </w:r>
      <w:r>
        <w:t>bi</w:t>
      </w:r>
      <w:r w:rsidRPr="00681A68">
        <w:t>rds, except where eagle management goals would be jeopardized. This would be accom</w:t>
      </w:r>
      <w:r>
        <w:t>plished using the Deschutes Nati</w:t>
      </w:r>
      <w:r w:rsidRPr="00681A68">
        <w:t>ona</w:t>
      </w:r>
      <w:r>
        <w:t>l</w:t>
      </w:r>
      <w:r w:rsidRPr="00681A68">
        <w:t xml:space="preserve"> Forest Wildlife Tree Implementation Plan</w:t>
      </w:r>
      <w:r>
        <w:t>.</w:t>
      </w:r>
      <w:r w:rsidRPr="00681A68">
        <w:t xml:space="preserve"> Large-diameter snags are espec</w:t>
      </w:r>
      <w:r>
        <w:t>i</w:t>
      </w:r>
      <w:r w:rsidRPr="00681A68">
        <w:t>ally des</w:t>
      </w:r>
      <w:r>
        <w:t>i</w:t>
      </w:r>
      <w:r w:rsidRPr="00681A68">
        <w:t>rable as both nesting habitat for cavity-nesting animals and perch trees for eagles.”).</w:t>
      </w:r>
      <w:r>
        <w:t xml:space="preserve"> See also Fremont LRMP (p 103) (“Wildlife trees in Management Areas 2, 3, and 14 will be maintained at levels to provide habitat for at least 100 percent of the potential population of cavity-dependent species. … Management Areas 4, 6, 12, and 13, … will be managed to maintain 60 percent of the potential population of cavity-dependent species where safety concerns permit such management. Management Areas 8, 9, 10, 11, and 16 will provide Wildlife trees at whatever level naturally occurs in those areas.”).</w:t>
      </w:r>
      <w:r w:rsidRPr="00681A68">
        <w:t xml:space="preserve"> </w:t>
      </w:r>
      <w:r>
        <w:t xml:space="preserve">The 1994 Deschutes Wildlife Tree and Log Implementation Strategy also relies on the discredited potential population method. The Screens may be flawed but at least </w:t>
      </w:r>
      <w:r>
        <w:lastRenderedPageBreak/>
        <w:t xml:space="preserve">they establish an ecologically aspirational goal to retain 100% population potential, instead of 40-60% in many forests’ “wildlife tree” objectives. The current science says that these standards are outdated and that snag-associated wildlife need more snags, and more green trees need to be retained to ensure recruitment of those snags over time. See Rose et al. 2001. Decaying Wood in Pacific Northwest Forests: Concepts and Tools for Habitat Management, Chapter 24 in Wildlife-Habitat Relationships in Oregon and Washington (Johnson, D. H. and T. A. O’Neil. OSU Press. 2001) </w:t>
      </w:r>
      <w:hyperlink r:id="rId63" w:history="1">
        <w:r w:rsidRPr="00041242">
          <w:rPr>
            <w:rStyle w:val="Hyperlink"/>
          </w:rPr>
          <w:t>http://web.archive.org/web/20060708035905/http://www.nwhi.org/inc/data/GISdata/docs/chapter24.pdf</w:t>
        </w:r>
      </w:hyperlink>
      <w:r w:rsidRPr="00681A68">
        <w:t>;</w:t>
      </w:r>
    </w:p>
    <w:p w:rsidR="0025001E" w:rsidRDefault="0025001E" w:rsidP="0025001E">
      <w:r>
        <w:t>Retaining large trees is important to ensuring long-term snag recruitment because … Large snag habitat will be directly and significantly reduced when large green trees are sent to the mill under this plan amendment. The proposed action explicitly defines large trees</w:t>
      </w:r>
      <w:r w:rsidRPr="00AC2E95">
        <w:t xml:space="preserve"> to exclude shade-tolerate trees 21-30” dbh, even though such trees are defined as large in the scientific literature concerning forest ecology and trees </w:t>
      </w:r>
      <w:r>
        <w:t xml:space="preserve">and snags </w:t>
      </w:r>
      <w:r w:rsidRPr="00AC2E95">
        <w:t xml:space="preserve">21-30” dbh do provide significant ecological values. See </w:t>
      </w:r>
      <w:r>
        <w:t>Rose et al (2001) (“</w:t>
      </w:r>
      <w:r w:rsidRPr="00834863">
        <w:t>Hollow trees larger than 20 inches (51 cm) in diameter at breast height (dbh) are the most valuable for denning, shelter, roosting, and hunting by a wide range of animals</w:t>
      </w:r>
      <w:r>
        <w:t xml:space="preserve">”); </w:t>
      </w:r>
      <w:r w:rsidRPr="00AC2E95">
        <w:t xml:space="preserve">Bate, Lisa J., Edward O. </w:t>
      </w:r>
      <w:proofErr w:type="spellStart"/>
      <w:r w:rsidRPr="00AC2E95">
        <w:t>Garton</w:t>
      </w:r>
      <w:proofErr w:type="spellEnd"/>
      <w:r w:rsidRPr="00AC2E95">
        <w:t>, and Michael J. Wisdom. 1999. Estimating snag and large tree densities and distributions on a landscape for wildlife management. U. S. Department of Agriculture, Forest</w:t>
      </w:r>
      <w:r>
        <w:t xml:space="preserve"> </w:t>
      </w:r>
      <w:r w:rsidRPr="00AC2E95">
        <w:t xml:space="preserve">Service, Pacific Northwest Research Station, General Technical Report PNW-GTR-425: 1-76 </w:t>
      </w:r>
      <w:hyperlink r:id="rId64" w:history="1">
        <w:r w:rsidRPr="00AC2E95">
          <w:rPr>
            <w:rStyle w:val="Hyperlink"/>
          </w:rPr>
          <w:t>https://www.fs.fed.us/pnw/pubs/pnw_gtr425.pdf</w:t>
        </w:r>
      </w:hyperlink>
      <w:r>
        <w:t xml:space="preserve">; Quigley 1997. ICBEMP Science Assessment. PNW-GTR-405. </w:t>
      </w:r>
      <w:hyperlink r:id="rId65" w:history="1">
        <w:r w:rsidRPr="00041242">
          <w:rPr>
            <w:rStyle w:val="Hyperlink"/>
          </w:rPr>
          <w:t>https://www.fs.fed.us/pnw/pubs/pnw_gtr405.pdf</w:t>
        </w:r>
      </w:hyperlink>
      <w:r>
        <w:t xml:space="preserve"> (“</w:t>
      </w:r>
      <w:proofErr w:type="spellStart"/>
      <w:r w:rsidRPr="0055778D">
        <w:t>LgT</w:t>
      </w:r>
      <w:proofErr w:type="spellEnd"/>
      <w:r w:rsidRPr="0055778D">
        <w:t xml:space="preserve"> - large trees (&gt; 53.2 cm dbh</w:t>
      </w:r>
      <w:r>
        <w:t>”);</w:t>
      </w:r>
    </w:p>
    <w:p w:rsidR="00EE1DAC" w:rsidRDefault="00EE1DAC" w:rsidP="0025001E"/>
    <w:p w:rsidR="0025001E" w:rsidRDefault="0025001E" w:rsidP="0025001E">
      <w:r>
        <w:t xml:space="preserve">Retaining large trees is important to ensuring long-term snag recruitment because … Snags are a critical part of Late Old Structure (LOS) forests. Large snags play a disproportionate role in maintaining ecosystem health and resiliency because they support populations of birds that prey on insects that can harm trees. Snags also support a wide variety of other wildlife, and provide a rich assortment of ecosystem services, including capture, storage, and release of water, nutrients, sediment, and thermal energy; See William F. </w:t>
      </w:r>
      <w:proofErr w:type="spellStart"/>
      <w:r>
        <w:t>Laudenslayer</w:t>
      </w:r>
      <w:proofErr w:type="spellEnd"/>
      <w:r>
        <w:t xml:space="preserve">, Jr., Patrick J. </w:t>
      </w:r>
      <w:proofErr w:type="spellStart"/>
      <w:r>
        <w:t>Shea</w:t>
      </w:r>
      <w:proofErr w:type="spellEnd"/>
      <w:r>
        <w:t xml:space="preserve">, Bradley E. Valentine, C. Phillip Weatherspoon, and Thomas E. Lisle </w:t>
      </w:r>
      <w:r w:rsidRPr="00AC6EA3">
        <w:rPr>
          <w:i/>
          <w:iCs/>
        </w:rPr>
        <w:t xml:space="preserve">Technical Coordinators. </w:t>
      </w:r>
      <w:r w:rsidRPr="00AC6EA3">
        <w:rPr>
          <w:u w:val="single"/>
        </w:rPr>
        <w:t>Proceedings of the Symposium on the Ecology and Management of Dead Wood in Western Forests.</w:t>
      </w:r>
      <w:r>
        <w:t xml:space="preserve"> PSW-GTR-181. </w:t>
      </w:r>
      <w:hyperlink r:id="rId66" w:history="1">
        <w:r>
          <w:rPr>
            <w:rStyle w:val="Hyperlink"/>
          </w:rPr>
          <w:t>http://www.fs.fed.us/psw/publications/documents/gtr-181/</w:t>
        </w:r>
      </w:hyperlink>
      <w:r>
        <w:t xml:space="preserve">; </w:t>
      </w:r>
      <w:proofErr w:type="spellStart"/>
      <w:r>
        <w:t>Lofroth</w:t>
      </w:r>
      <w:proofErr w:type="spellEnd"/>
      <w:r>
        <w:t xml:space="preserve">, Eric. 1998. The dead wood cycle. In: Conservation biology principles for forested landscapes. Edited by J. </w:t>
      </w:r>
      <w:proofErr w:type="spellStart"/>
      <w:r>
        <w:t>Voller</w:t>
      </w:r>
      <w:proofErr w:type="spellEnd"/>
      <w:r>
        <w:t xml:space="preserve"> and S. Harrison. UBC Press, Vancouver, B.C. pp. 185-214. 243 p. </w:t>
      </w:r>
      <w:hyperlink r:id="rId67" w:history="1">
        <w:r>
          <w:rPr>
            <w:rStyle w:val="Hyperlink"/>
          </w:rPr>
          <w:t>http://www.for.gov.bc.ca/hre/deadwood/DTrol.htm</w:t>
        </w:r>
      </w:hyperlink>
      <w:r>
        <w:t xml:space="preserve">; </w:t>
      </w:r>
      <w:r w:rsidRPr="005A059B">
        <w:t xml:space="preserve">Rose, C.L., </w:t>
      </w:r>
      <w:r>
        <w:t>et al</w:t>
      </w:r>
      <w:r w:rsidRPr="005A059B">
        <w:t xml:space="preserve">. 2001. Decaying Wood in Pacific Northwest Forests: Concepts and Tools for Habitat Management, Chapter 24 </w:t>
      </w:r>
      <w:r w:rsidRPr="00AC6EA3">
        <w:rPr>
          <w:i/>
        </w:rPr>
        <w:t>in</w:t>
      </w:r>
      <w:r w:rsidRPr="005A059B">
        <w:t xml:space="preserve"> </w:t>
      </w:r>
      <w:r w:rsidRPr="00AC6EA3">
        <w:rPr>
          <w:bCs/>
          <w:i/>
          <w:iCs/>
        </w:rPr>
        <w:t>Wildlife-Habitat Relationships in Oregon and Washington</w:t>
      </w:r>
      <w:r>
        <w:t xml:space="preserve"> (Johnson, D. H. and T. A. O'Neil. OSU Press. 2001)</w:t>
      </w:r>
      <w:r w:rsidRPr="005A059B">
        <w:t xml:space="preserve"> </w:t>
      </w:r>
      <w:hyperlink r:id="rId68" w:history="1">
        <w:r w:rsidRPr="005A059B">
          <w:rPr>
            <w:rStyle w:val="Hyperlink"/>
          </w:rPr>
          <w:t>http://www.fs.fed.us/wildecology/decaid/decaid_background/chapter24cwb.pdf</w:t>
        </w:r>
      </w:hyperlink>
      <w:r>
        <w:t xml:space="preserve">; Hagar, Joan, 2007, Assessment and management of dead-wood habitat: USGS Administrative Report 20071054, pp. 1-32. </w:t>
      </w:r>
      <w:hyperlink r:id="rId69" w:history="1">
        <w:r>
          <w:rPr>
            <w:rStyle w:val="Hyperlink"/>
          </w:rPr>
          <w:t>http://pubs.usgs.gov/of/2007/1054/pdf/ofr20071054.pdf</w:t>
        </w:r>
      </w:hyperlink>
      <w:r>
        <w:t xml:space="preserve">; Bruce G. Marcot </w:t>
      </w:r>
      <w:r>
        <w:lastRenderedPageBreak/>
        <w:t xml:space="preserve">2017. Ecosystem Processes Related to Wood Decay. PNW Research Note 576. </w:t>
      </w:r>
      <w:hyperlink r:id="rId70" w:history="1">
        <w:r w:rsidRPr="0021413C">
          <w:rPr>
            <w:rStyle w:val="Hyperlink"/>
          </w:rPr>
          <w:t>https://www.fs.fed.us/pnw/pubs/pnw_rn576.pdf</w:t>
        </w:r>
      </w:hyperlink>
      <w:r>
        <w:t xml:space="preserve">; and </w:t>
      </w:r>
      <w:r w:rsidRPr="005325D0">
        <w:t xml:space="preserve">Jennie </w:t>
      </w:r>
      <w:proofErr w:type="spellStart"/>
      <w:r w:rsidRPr="005325D0">
        <w:t>Sandström</w:t>
      </w:r>
      <w:proofErr w:type="spellEnd"/>
      <w:r w:rsidRPr="005325D0">
        <w:t xml:space="preserve"> et al. </w:t>
      </w:r>
      <w:r>
        <w:t xml:space="preserve">2019. </w:t>
      </w:r>
      <w:r w:rsidRPr="005325D0">
        <w:t>Impacts of dead wood manipulation on the biodiversity of temperate and boreal forests. A systematic review, Journal of Applied Ecology (2019). DOI: 10.1111/1365-2664.13395</w:t>
      </w:r>
      <w:r>
        <w:t xml:space="preserve">. </w:t>
      </w:r>
      <w:hyperlink r:id="rId71" w:history="1">
        <w:r>
          <w:rPr>
            <w:rStyle w:val="Hyperlink"/>
          </w:rPr>
          <w:t>https://besjournals.onlinelibrary.wiley.com/doi/pdf/10.1111/1365-2664.13395</w:t>
        </w:r>
      </w:hyperlink>
      <w:r>
        <w:t>;</w:t>
      </w:r>
    </w:p>
    <w:p w:rsidR="00EE1DAC" w:rsidRDefault="00EE1DAC" w:rsidP="0025001E"/>
    <w:p w:rsidR="0025001E" w:rsidRDefault="0025001E" w:rsidP="0025001E">
      <w:r>
        <w:t xml:space="preserve">Retaining large trees is important to ensuring long-term snag recruitment because … There is a severe shortage of large snags on the eastside because of past clearcutting, high grading, salvage logging, thinning, and fire suppression; Quigley, Thomas M.; </w:t>
      </w:r>
      <w:proofErr w:type="spellStart"/>
      <w:r>
        <w:t>Arbelbide</w:t>
      </w:r>
      <w:proofErr w:type="spellEnd"/>
      <w:r>
        <w:t xml:space="preserve">, Sylvia J., tech. eds. 1997. An assessment of ecosystem components in the interior Columbia basin and portions of the Klamath and Great Basins: volume 1. Gen. Tech. Rep. PNW-GTR-405. Portland, OR: U.S. Department of Agriculture, Forest Service, Pacific Northwest Research Station. 4 vol. </w:t>
      </w:r>
      <w:hyperlink r:id="rId72" w:history="1">
        <w:r w:rsidRPr="00041242">
          <w:rPr>
            <w:rStyle w:val="Hyperlink"/>
          </w:rPr>
          <w:t>https://www.fs.fed.us/pnw/pubs/pnw_gtr405.pdf</w:t>
        </w:r>
      </w:hyperlink>
      <w:r>
        <w:t xml:space="preserve"> (“Disturbances in non-harvested stands favor snag development. In contrast, harvest disturbances resulted in fewer snags, fewer large trees with the potential of being recruited as snags, and likely an increased probability that snags in the surrounding area would be used for firewood.”)</w:t>
      </w:r>
    </w:p>
    <w:p w:rsidR="00EE1DAC" w:rsidRDefault="00EE1DAC" w:rsidP="0025001E"/>
    <w:p w:rsidR="0025001E" w:rsidRDefault="0025001E" w:rsidP="0025001E">
      <w:r>
        <w:t>Retaining large trees is important to ensuring long-term snag recruitment because … The green tree standard is as important or more important than the snag standard, because all snags are recruited from the green tree population. Restoring populations of large snags requires retention of large numbers of large trees that die over time due to natural processes such as competition, insects, fire, wind, or active snag recruitment, etc. Harmon (1999) said:</w:t>
      </w:r>
    </w:p>
    <w:p w:rsidR="0025001E" w:rsidRDefault="0025001E" w:rsidP="0025001E">
      <w:pPr>
        <w:ind w:left="720"/>
      </w:pPr>
      <w:r w:rsidRPr="00920671">
        <w:rPr>
          <w:b/>
        </w:rPr>
        <w:t>Linking Live and Dead Trees</w:t>
      </w:r>
      <w:r>
        <w:rPr>
          <w:b/>
        </w:rPr>
        <w:t xml:space="preserve"> - </w:t>
      </w:r>
      <w:r>
        <w:t xml:space="preserve">Although developing a viable </w:t>
      </w:r>
      <w:proofErr w:type="spellStart"/>
      <w:r>
        <w:t>morticulture</w:t>
      </w:r>
      <w:proofErr w:type="spellEnd"/>
      <w:r>
        <w:t xml:space="preserve"> will require new knowledge, in many cases it will require that we apply what we already know. For example, we already know that live trees eventually form dead trees, but it is amazing that this dynamic is often missing from current forest management thinking. … Forest management in the past century has focused on how to lower mortality rates via thinning, fire protection, etc. Ironically, the next century of forest management may be occupied with how to increase mortality when and where we want it. … [H]ow might this new paradigm of </w:t>
      </w:r>
      <w:proofErr w:type="spellStart"/>
      <w:r>
        <w:t>morticulture</w:t>
      </w:r>
      <w:proofErr w:type="spellEnd"/>
      <w:r>
        <w:t xml:space="preserve"> work? It would probably start by answering the question of which species or processes are to be maintained, restored, or otherwise managed (fig. 5). Then the target levels for these functions should be determined. Before assessing the amount of woody detritus to be maintained or added to meet this functional target, the landscape context for the management action should be assessed. Are there limitations of populations or processes that would limit the desired response? If not, a plan to add wood would be designed to maintain the desired level. But if there are landscape limitations, then these should be addressed before planning at the stand-level proceeds.”)</w:t>
      </w:r>
    </w:p>
    <w:p w:rsidR="0025001E" w:rsidRDefault="0025001E" w:rsidP="0025001E">
      <w:pPr>
        <w:ind w:left="720"/>
      </w:pPr>
      <w:r>
        <w:rPr>
          <w:noProof/>
        </w:rPr>
        <w:lastRenderedPageBreak/>
        <w:drawing>
          <wp:inline distT="0" distB="0" distL="0" distR="0" wp14:anchorId="71CBF4CA" wp14:editId="387AE949">
            <wp:extent cx="4171950" cy="30375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4171950" cy="3037567"/>
                    </a:xfrm>
                    <a:prstGeom prst="rect">
                      <a:avLst/>
                    </a:prstGeom>
                    <a:noFill/>
                    <a:ln>
                      <a:noFill/>
                    </a:ln>
                  </pic:spPr>
                </pic:pic>
              </a:graphicData>
            </a:graphic>
          </wp:inline>
        </w:drawing>
      </w:r>
    </w:p>
    <w:p w:rsidR="0025001E" w:rsidRDefault="0025001E" w:rsidP="0025001E">
      <w:r>
        <w:t xml:space="preserve">See Harmon, Mark 1999. Moving towards a New Paradigm for Woody Detritus Management. </w:t>
      </w:r>
      <w:r w:rsidRPr="00A4184F">
        <w:rPr>
          <w:i/>
        </w:rPr>
        <w:t>in</w:t>
      </w:r>
      <w:r>
        <w:t xml:space="preserve"> </w:t>
      </w:r>
      <w:r w:rsidRPr="00A4184F">
        <w:t>Proceedings of the Symposium on the Ecology and Management of Dead Wood in Western Forests.</w:t>
      </w:r>
      <w:r>
        <w:t xml:space="preserve"> PSW-GTR-181. </w:t>
      </w:r>
      <w:hyperlink r:id="rId74" w:history="1">
        <w:r>
          <w:rPr>
            <w:rStyle w:val="Hyperlink"/>
          </w:rPr>
          <w:t>http://www.fs.fed.us/psw/publications/documents/gtr-181/</w:t>
        </w:r>
      </w:hyperlink>
      <w:r>
        <w:t xml:space="preserve">, </w:t>
      </w:r>
      <w:hyperlink r:id="rId75" w:history="1">
        <w:r w:rsidRPr="00187B8E">
          <w:rPr>
            <w:rStyle w:val="Hyperlink"/>
          </w:rPr>
          <w:t>https://www.fs.fed.us/psw/publications/documents/gtr-181/071_Harm.pdf</w:t>
        </w:r>
      </w:hyperlink>
      <w:r>
        <w:t>. Using DecAID or other tools, the FS needs to identify appropriate goals for snags and dead wood habitat based on the needs of wildlife that are most sensitive to the absence of such habitat features. The agency needs to analyze how to achieve those snag goals by retaining an adequate population of green trees and maintaining natural mortality processes that can act on those trees.</w:t>
      </w:r>
    </w:p>
    <w:p w:rsidR="0025001E" w:rsidRDefault="0025001E" w:rsidP="0025001E"/>
    <w:p w:rsidR="0025001E" w:rsidRDefault="0025001E" w:rsidP="0025001E">
      <w:r>
        <w:t xml:space="preserve">Retaining large trees is also important to ensuring long-term snag recruitment because … </w:t>
      </w:r>
    </w:p>
    <w:p w:rsidR="0025001E" w:rsidRDefault="0025001E" w:rsidP="0025001E">
      <w:pPr>
        <w:pStyle w:val="ListParagraph"/>
        <w:numPr>
          <w:ilvl w:val="0"/>
          <w:numId w:val="17"/>
        </w:numPr>
      </w:pPr>
      <w:r w:rsidRPr="00810B55">
        <w:t xml:space="preserve">Maintaining adequate numbers of large snags over time in a managed stand requires careful management because logging captures and exports mortality and increases tree vigor thus both reducing and delaying snag recruitment. </w:t>
      </w:r>
      <w:r>
        <w:t>Thomas, J.W. (ed.) 1979. Ag Handbook 553</w:t>
      </w:r>
      <w:r w:rsidRPr="00810B55">
        <w:t xml:space="preserve">. </w:t>
      </w:r>
      <w:hyperlink r:id="rId76" w:history="1">
        <w:r w:rsidRPr="00810B55">
          <w:rPr>
            <w:rStyle w:val="Hyperlink"/>
          </w:rPr>
          <w:t>https://www.srs.fs.usda.gov/pubs/misc/agh553.pdf</w:t>
        </w:r>
      </w:hyperlink>
      <w:r>
        <w:t xml:space="preserve">. See Heiken, D. Thinking About Dead Wood in Managed Landscapes. 2012. </w:t>
      </w:r>
      <w:hyperlink r:id="rId77" w:history="1">
        <w:r w:rsidRPr="00B51B62">
          <w:rPr>
            <w:rStyle w:val="Hyperlink"/>
          </w:rPr>
          <w:t>https://www.dropbox.com/s/5gofctjdglx5t3t/dead%20wood%20slides%202012.pdf</w:t>
        </w:r>
      </w:hyperlink>
      <w:r>
        <w:t>;</w:t>
      </w:r>
    </w:p>
    <w:p w:rsidR="0025001E" w:rsidRDefault="0025001E" w:rsidP="0025001E">
      <w:pPr>
        <w:pStyle w:val="ListParagraph"/>
        <w:numPr>
          <w:ilvl w:val="0"/>
          <w:numId w:val="17"/>
        </w:numPr>
      </w:pPr>
      <w:r>
        <w:t xml:space="preserve">Snags are ephemeral. Snags that exist today will be gone in a few years, and every stand needs a population of green trees available, NOT for future logging, NOT to match some abstract notion of “LOS objectives,” but exclusively for the purpose of future recruitment of snags throughout the life of the stand. </w:t>
      </w:r>
      <w:r w:rsidRPr="00720574">
        <w:t xml:space="preserve">Modelling by Harris (2000) suggests that </w:t>
      </w:r>
      <w:r w:rsidRPr="005A0BF8">
        <w:t>since snags are ephemeral</w:t>
      </w:r>
      <w:r>
        <w:t xml:space="preserve"> </w:t>
      </w:r>
      <w:r w:rsidRPr="003651C9">
        <w:t>and need to be continually replaced</w:t>
      </w:r>
      <w:r w:rsidRPr="005A0BF8">
        <w:t xml:space="preserve">, </w:t>
      </w:r>
      <w:r w:rsidRPr="00720574">
        <w:t xml:space="preserve">12 or more green trees need to be retained for every snag we want to </w:t>
      </w:r>
      <w:r>
        <w:t>maintain over the life of the stand</w:t>
      </w:r>
      <w:r w:rsidRPr="00720574">
        <w:t>. Harris, R.B. 2000. Estimating large snag recruitment needs in regeneration timber harvests. Western Journal of Applied Forestry. 15: 140-146.</w:t>
      </w:r>
      <w:r>
        <w:t xml:space="preserve"> </w:t>
      </w:r>
      <w:hyperlink r:id="rId78" w:history="1">
        <w:r w:rsidRPr="00041242">
          <w:rPr>
            <w:rStyle w:val="Hyperlink"/>
          </w:rPr>
          <w:t>http://www.cas.umt.edu/facultydatabase/FILES_Faculty/1152/Harris%202000%20LargeSnagRecruitment%20Western%20J.%20Appl.%20For.pdf</w:t>
        </w:r>
      </w:hyperlink>
      <w:r>
        <w:t xml:space="preserve">; </w:t>
      </w:r>
    </w:p>
    <w:p w:rsidR="0025001E" w:rsidRPr="00AC2E95" w:rsidRDefault="0025001E" w:rsidP="0025001E">
      <w:pPr>
        <w:pStyle w:val="ListParagraph"/>
        <w:numPr>
          <w:ilvl w:val="0"/>
          <w:numId w:val="17"/>
        </w:numPr>
      </w:pPr>
      <w:r>
        <w:t xml:space="preserve">Large snags can be substituted for small snags, but small snags cannot be substituted for large snags. </w:t>
      </w:r>
      <w:r w:rsidRPr="00810B55">
        <w:t>Thomas, Jack Ward. 1979. (Editor). Wildlife habitats in managed forests – the Blue Mountains of Oregon and Washington. USDA Forest Service, Agricultural Handbook</w:t>
      </w:r>
      <w:r>
        <w:t xml:space="preserve"> </w:t>
      </w:r>
      <w:r w:rsidRPr="00810B55">
        <w:t xml:space="preserve">553, Washington, D. C. 510pp. </w:t>
      </w:r>
      <w:hyperlink r:id="rId79" w:history="1">
        <w:r w:rsidRPr="00810B55">
          <w:rPr>
            <w:rStyle w:val="Hyperlink"/>
          </w:rPr>
          <w:t>https://www.srs.fs.usda.gov/pubs/misc/agh553.pdf</w:t>
        </w:r>
      </w:hyperlink>
      <w:r>
        <w:t xml:space="preserve">; This plan amendment allows removal of irreplaceable large trees preventing them from ever becoming large snags. </w:t>
      </w:r>
    </w:p>
    <w:p w:rsidR="0025001E" w:rsidRDefault="0025001E" w:rsidP="0025001E"/>
    <w:p w:rsidR="0025001E" w:rsidRDefault="0025001E" w:rsidP="0025001E">
      <w:r>
        <w:t xml:space="preserve">The EA discloses effects averaged over large areas instead of disclosing effects at the stand level that are more relevant to wildlife. To accurately inform the public and the decision-maker on the real-world effects of large tree removal during timber sales, the NEPA analysis needs to provide an analysis of some example timber sales in typical stands and carefully disclose the adverse effects on snags habitat over time. The problems is that commercial logging captures and exports mortality, and significantly reduces the population of green trees available for snag recruitment of the long term. This is true even when logging is limited to small trees, because logging prevents those trees for growing, become large, and being recruited as snags. When logging includes removal of trees that are already large, the adverse effects on recruitment of large snags is even more significant, yet not disclosed in the EA. </w:t>
      </w:r>
    </w:p>
    <w:p w:rsidR="00EE1DAC" w:rsidRDefault="00EE1DAC" w:rsidP="0025001E"/>
    <w:p w:rsidR="0025001E" w:rsidRDefault="0025001E" w:rsidP="0025001E">
      <w:r>
        <w:t xml:space="preserve">What would be most informative would be something like the graph below from the Curran </w:t>
      </w:r>
      <w:proofErr w:type="spellStart"/>
      <w:r>
        <w:t>Junetta</w:t>
      </w:r>
      <w:proofErr w:type="spellEnd"/>
      <w:r>
        <w:t xml:space="preserve"> Thin EA (on the Umpqua NF, Cottage Grove Ranger District). This particular project is in an a moist forest type, but the results displayed are consistent with results in other forest types. </w:t>
      </w:r>
    </w:p>
    <w:p w:rsidR="0025001E" w:rsidRDefault="0025001E" w:rsidP="0025001E">
      <w:pPr>
        <w:pStyle w:val="NormalWeb"/>
        <w:spacing w:before="0" w:after="0"/>
        <w:ind w:left="720"/>
      </w:pPr>
      <w:r>
        <w:rPr>
          <w:noProof/>
          <w:lang w:eastAsia="en-US"/>
        </w:rPr>
        <w:drawing>
          <wp:inline distT="0" distB="0" distL="0" distR="0" wp14:anchorId="5E5471C1" wp14:editId="689CE9F4">
            <wp:extent cx="4248150" cy="2082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screen">
                      <a:extLst>
                        <a:ext uri="{28A0092B-C50C-407E-A947-70E740481C1C}">
                          <a14:useLocalDpi xmlns:a14="http://schemas.microsoft.com/office/drawing/2010/main"/>
                        </a:ext>
                      </a:extLst>
                    </a:blip>
                    <a:srcRect/>
                    <a:stretch>
                      <a:fillRect/>
                    </a:stretch>
                  </pic:blipFill>
                  <pic:spPr bwMode="auto">
                    <a:xfrm>
                      <a:off x="0" y="0"/>
                      <a:ext cx="4248150" cy="2082800"/>
                    </a:xfrm>
                    <a:prstGeom prst="rect">
                      <a:avLst/>
                    </a:prstGeom>
                    <a:solidFill>
                      <a:srgbClr val="FFFFFF"/>
                    </a:solidFill>
                    <a:ln>
                      <a:noFill/>
                    </a:ln>
                  </pic:spPr>
                </pic:pic>
              </a:graphicData>
            </a:graphic>
          </wp:inline>
        </w:drawing>
      </w:r>
    </w:p>
    <w:p w:rsidR="0025001E" w:rsidRDefault="0025001E" w:rsidP="0025001E">
      <w:r>
        <w:t xml:space="preserve">USDA Forest Service. 2007. Curran </w:t>
      </w:r>
      <w:proofErr w:type="spellStart"/>
      <w:r>
        <w:t>Junetta</w:t>
      </w:r>
      <w:proofErr w:type="spellEnd"/>
      <w:r>
        <w:t xml:space="preserve"> Thin EA. Cottage Grove Ranger District, Umpqua National Forest. June 2007. </w:t>
      </w:r>
      <w:hyperlink r:id="rId81" w:history="1">
        <w:r>
          <w:rPr>
            <w:rStyle w:val="Hyperlink"/>
          </w:rPr>
          <w:t>http://a123.g.akamai.net/7/123/11558/abc123/forestservic.download.akamai.com/11558/www/nepa/32805_FSPLT2_053506.pdf</w:t>
        </w:r>
      </w:hyperlink>
      <w:r>
        <w:t>. This type of graph is informative because (</w:t>
      </w:r>
      <w:proofErr w:type="spellStart"/>
      <w:r>
        <w:t>i</w:t>
      </w:r>
      <w:proofErr w:type="spellEnd"/>
      <w:r>
        <w:t xml:space="preserve">) it focuses on large snags that are most valuable for wildlife and most at risk under this amendment, (ii) it shows effects over a sufficiently long time-frame to reveal the effects of losing large numbers of green trees on future snag recruitment, and (iii) it shows effects relative to DecAID 30-80% tolerance </w:t>
      </w:r>
      <w:r>
        <w:lastRenderedPageBreak/>
        <w:t>levels. Examples like this should be included in the NEPA analysis. Such an analysis can be readily done using stand simulation modelling such as FVS which the FS is already using in the NEPA analysis for this project.</w:t>
      </w:r>
    </w:p>
    <w:p w:rsidR="00EE1DAC" w:rsidRDefault="00EE1DAC" w:rsidP="0025001E"/>
    <w:p w:rsidR="0025001E" w:rsidRDefault="0025001E" w:rsidP="0025001E">
      <w:r>
        <w:t xml:space="preserve">We are providing below a long excerpt from Oregon Wild’s August 6, 2018 objection to the </w:t>
      </w:r>
      <w:hyperlink r:id="rId82" w:history="1">
        <w:r w:rsidRPr="00AF1BEE">
          <w:rPr>
            <w:rStyle w:val="Hyperlink"/>
          </w:rPr>
          <w:t>East Hills Project</w:t>
        </w:r>
      </w:hyperlink>
      <w:r>
        <w:t xml:space="preserve"> on the Fremont-Winema NF which includes a plan amendment allowing large tree removal on 79,000 acres of logging units. This narrative highlights the need for careful analysis of the long-term loss of snags caused by logging with large tree removal, and shows the strengths and weaknesses of the analysis methods sometimes used by the FS. </w:t>
      </w:r>
    </w:p>
    <w:p w:rsidR="0025001E" w:rsidRDefault="0025001E" w:rsidP="0025001E">
      <w:pPr>
        <w:ind w:left="720"/>
      </w:pPr>
      <w:r w:rsidRPr="0075352B">
        <w:t xml:space="preserve">Oregon Wild comments on the </w:t>
      </w:r>
      <w:r>
        <w:t xml:space="preserve">[East Hills] </w:t>
      </w:r>
      <w:r w:rsidRPr="0075352B">
        <w:t>DEIS provided detailed explanation of how widespread logging will capture mortality and depri</w:t>
      </w:r>
      <w:r>
        <w:t>v</w:t>
      </w:r>
      <w:r w:rsidRPr="0075352B">
        <w:t xml:space="preserve">e the landscape of needed </w:t>
      </w:r>
      <w:r>
        <w:t>s</w:t>
      </w:r>
      <w:r w:rsidRPr="0075352B">
        <w:t xml:space="preserve">nags and down wood.  </w:t>
      </w:r>
      <w:r>
        <w:t>The FEIS fails to take a hard look at the adverse effects of logging on dead wood by projecting dead wood recruitment into the future after 10,000+ log trucks worth of trees are removed. There are tools available to quantify these impacts but the FS failed to use those tools and failed to inform the public and the decision-maker about the impacts of logging.</w:t>
      </w:r>
    </w:p>
    <w:p w:rsidR="0025001E" w:rsidRDefault="0025001E" w:rsidP="0025001E">
      <w:pPr>
        <w:ind w:left="720"/>
      </w:pPr>
      <w:r>
        <w:t>The record includes a draft FVS model runs by Sarah Johnson dated May 4, 2018 “East Hills Snag Summaries.” These models runs show that snag habitat will be long-term adversely affected by widespread logging. In the graphs below, “A1” refers to Alternative 1, no action, and “A2” refers to Alternative 2, adopted in the draft ROD. These graphs really highlight the fact that logged and unlogged areas provide different benefits with respect to snag habitat. The FEIS fails to clearly disclose the ecological consequences of treating such a large fraction of the landscape and leaving the project area with such a short supply of snags. Surely, there is a better mix of treated and untreated that will yield a more optimal set of benefits across the landscape.</w:t>
      </w:r>
    </w:p>
    <w:p w:rsidR="0025001E" w:rsidRDefault="0025001E" w:rsidP="0025001E">
      <w:pPr>
        <w:ind w:left="720"/>
      </w:pPr>
      <w:r>
        <w:t xml:space="preserve">We are very concerned that these snag projections did not make it into the FEIS. This kind of information is essential to inform the public and the decision-maker about the effects of the proposed action. The FEIS cannot take a hard look at this issue without incorporating this information and making sure the wildlife effects analysis reflects the severe impacts on snags habitat from such widespread logging. </w:t>
      </w:r>
    </w:p>
    <w:p w:rsidR="0025001E" w:rsidRDefault="0025001E" w:rsidP="0025001E">
      <w:pPr>
        <w:ind w:left="720"/>
      </w:pPr>
      <w:r>
        <w:t xml:space="preserve">Note: the graphs below from Sarah Johnson’s Snag Summaries are missing some key elements required for a hard look. They do not distinguish between large and small snags, and they do not show the effects relative to the 50-80+% DecAID tolerance levels of key snag-associated wildlife. The snag habitat levels shown for Alt 2 in the graphs below are far below optimal levels for species associated with snags and dead wood. The FS claims this is a restoration project, but they are obsessively focused on restoring stand density and species composition, while ignoring other equally important aspects of ecological structure/function/process, that are adversely affected by density reduction, such as snag habitat, dense forest cover, carbon storage, etc. A proper NEPA hard look analysis of this issue will help the Forest Service understand the trade-offs and make adjustments to the </w:t>
      </w:r>
      <w:r>
        <w:lastRenderedPageBreak/>
        <w:t>final decision to better harmonize competing objectives. The existing NEPA analysis hides important impacts from logging and hides the fact that logging will move stands away from historic reference conditions in direct conflict with the purpose and need for this project.</w:t>
      </w:r>
    </w:p>
    <w:p w:rsidR="0025001E" w:rsidRDefault="0025001E" w:rsidP="0025001E">
      <w:pPr>
        <w:ind w:left="720"/>
      </w:pPr>
      <w:r>
        <w:rPr>
          <w:noProof/>
        </w:rPr>
        <w:drawing>
          <wp:inline distT="0" distB="0" distL="0" distR="0" wp14:anchorId="66C8249B" wp14:editId="27314EE3">
            <wp:extent cx="4094018" cy="244635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screen">
                      <a:extLst>
                        <a:ext uri="{28A0092B-C50C-407E-A947-70E740481C1C}">
                          <a14:useLocalDpi xmlns:a14="http://schemas.microsoft.com/office/drawing/2010/main"/>
                        </a:ext>
                      </a:extLst>
                    </a:blip>
                    <a:stretch>
                      <a:fillRect/>
                    </a:stretch>
                  </pic:blipFill>
                  <pic:spPr>
                    <a:xfrm>
                      <a:off x="0" y="0"/>
                      <a:ext cx="4096226" cy="2447676"/>
                    </a:xfrm>
                    <a:prstGeom prst="rect">
                      <a:avLst/>
                    </a:prstGeom>
                  </pic:spPr>
                </pic:pic>
              </a:graphicData>
            </a:graphic>
          </wp:inline>
        </w:drawing>
      </w:r>
    </w:p>
    <w:p w:rsidR="0025001E" w:rsidRDefault="0025001E" w:rsidP="0025001E">
      <w:pPr>
        <w:ind w:left="720"/>
      </w:pPr>
    </w:p>
    <w:p w:rsidR="0025001E" w:rsidRDefault="0025001E" w:rsidP="0025001E">
      <w:pPr>
        <w:ind w:left="720"/>
      </w:pPr>
      <w:r>
        <w:rPr>
          <w:noProof/>
        </w:rPr>
        <w:drawing>
          <wp:inline distT="0" distB="0" distL="0" distR="0" wp14:anchorId="29AC289E" wp14:editId="4C9EFA2F">
            <wp:extent cx="4115481" cy="24591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screen">
                      <a:extLst>
                        <a:ext uri="{28A0092B-C50C-407E-A947-70E740481C1C}">
                          <a14:useLocalDpi xmlns:a14="http://schemas.microsoft.com/office/drawing/2010/main"/>
                        </a:ext>
                      </a:extLst>
                    </a:blip>
                    <a:stretch>
                      <a:fillRect/>
                    </a:stretch>
                  </pic:blipFill>
                  <pic:spPr>
                    <a:xfrm>
                      <a:off x="0" y="0"/>
                      <a:ext cx="4117700" cy="2460508"/>
                    </a:xfrm>
                    <a:prstGeom prst="rect">
                      <a:avLst/>
                    </a:prstGeom>
                  </pic:spPr>
                </pic:pic>
              </a:graphicData>
            </a:graphic>
          </wp:inline>
        </w:drawing>
      </w:r>
    </w:p>
    <w:p w:rsidR="0025001E" w:rsidRDefault="0025001E" w:rsidP="0025001E">
      <w:pPr>
        <w:ind w:left="720"/>
      </w:pPr>
      <w:r>
        <w:rPr>
          <w:noProof/>
        </w:rPr>
        <w:lastRenderedPageBreak/>
        <w:drawing>
          <wp:inline distT="0" distB="0" distL="0" distR="0" wp14:anchorId="09F0AD2D" wp14:editId="7130517D">
            <wp:extent cx="4129852" cy="2493818"/>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cstate="screen">
                      <a:extLst>
                        <a:ext uri="{28A0092B-C50C-407E-A947-70E740481C1C}">
                          <a14:useLocalDpi xmlns:a14="http://schemas.microsoft.com/office/drawing/2010/main"/>
                        </a:ext>
                      </a:extLst>
                    </a:blip>
                    <a:stretch>
                      <a:fillRect/>
                    </a:stretch>
                  </pic:blipFill>
                  <pic:spPr>
                    <a:xfrm>
                      <a:off x="0" y="0"/>
                      <a:ext cx="4129852" cy="2493818"/>
                    </a:xfrm>
                    <a:prstGeom prst="rect">
                      <a:avLst/>
                    </a:prstGeom>
                  </pic:spPr>
                </pic:pic>
              </a:graphicData>
            </a:graphic>
          </wp:inline>
        </w:drawing>
      </w:r>
    </w:p>
    <w:p w:rsidR="0025001E" w:rsidRDefault="0025001E" w:rsidP="0025001E">
      <w:pPr>
        <w:ind w:left="720"/>
      </w:pPr>
    </w:p>
    <w:p w:rsidR="0025001E" w:rsidRDefault="0025001E" w:rsidP="0025001E">
      <w:pPr>
        <w:ind w:left="720"/>
      </w:pPr>
      <w:r>
        <w:rPr>
          <w:noProof/>
        </w:rPr>
        <w:drawing>
          <wp:inline distT="0" distB="0" distL="0" distR="0" wp14:anchorId="65B326D0" wp14:editId="24E4E3E3">
            <wp:extent cx="4170218" cy="2518193"/>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screen">
                      <a:extLst>
                        <a:ext uri="{28A0092B-C50C-407E-A947-70E740481C1C}">
                          <a14:useLocalDpi xmlns:a14="http://schemas.microsoft.com/office/drawing/2010/main"/>
                        </a:ext>
                      </a:extLst>
                    </a:blip>
                    <a:stretch>
                      <a:fillRect/>
                    </a:stretch>
                  </pic:blipFill>
                  <pic:spPr>
                    <a:xfrm>
                      <a:off x="0" y="0"/>
                      <a:ext cx="4170218" cy="2518193"/>
                    </a:xfrm>
                    <a:prstGeom prst="rect">
                      <a:avLst/>
                    </a:prstGeom>
                  </pic:spPr>
                </pic:pic>
              </a:graphicData>
            </a:graphic>
          </wp:inline>
        </w:drawing>
      </w:r>
    </w:p>
    <w:p w:rsidR="0025001E" w:rsidRDefault="0025001E" w:rsidP="0025001E">
      <w:pPr>
        <w:ind w:left="720"/>
      </w:pPr>
      <w:r>
        <w:t>…</w:t>
      </w:r>
    </w:p>
    <w:p w:rsidR="0025001E" w:rsidRDefault="0025001E" w:rsidP="0025001E">
      <w:pPr>
        <w:ind w:left="720"/>
      </w:pPr>
      <w:r>
        <w:t>The FEIS (p 250)  says about Alt 2 “Opening stands with restoration treatments would promote the development of large trees, which would allow for the recruitment of large snags over time. … Over time, restoration treatments would result in an increase in the amount of area with high densities of small and large diameter snags bringing the project area closer to DecAID reference conditions.” This is misleading, factually incorrect, and not supported by the evidence. The FEIS fails to clearly disclose that logging will capture mortality across 100k acres and reduced the population of green trees that are available for snag recruitment, and significant reduce snag habitat for a very long time. …</w:t>
      </w:r>
    </w:p>
    <w:p w:rsidR="00EE1DAC" w:rsidRDefault="00EE1DAC" w:rsidP="0025001E">
      <w:pPr>
        <w:ind w:left="720"/>
      </w:pPr>
    </w:p>
    <w:p w:rsidR="0025001E" w:rsidRDefault="0025001E" w:rsidP="0025001E">
      <w:pPr>
        <w:ind w:left="720"/>
      </w:pPr>
      <w:r>
        <w:t xml:space="preserve">The FEIS says about large tree </w:t>
      </w:r>
      <w:r w:rsidRPr="001B7ACE">
        <w:rPr>
          <w:i/>
        </w:rPr>
        <w:t>retention</w:t>
      </w:r>
      <w:r>
        <w:t xml:space="preserve"> under Alt 3: “over the long term continued presence of competing large white fir may slow or prevent large tree development, and thus the potential for future large snag recruitment.” This is not supported. Alt 3 will remove large numbers of small trees and, like Alt 2, allow an increase in growth of </w:t>
      </w:r>
      <w:r>
        <w:lastRenderedPageBreak/>
        <w:t xml:space="preserve">remaining trees. One big difference is that Alt 3 retains </w:t>
      </w:r>
      <w:r w:rsidRPr="001B7ACE">
        <w:rPr>
          <w:i/>
        </w:rPr>
        <w:t>existing</w:t>
      </w:r>
      <w:r>
        <w:t xml:space="preserve"> large trees. Under Alt 2, loss of existing large trees and future snags is far greater than the slight reduction in growth rates of other trees under Alt 3. Sarah Johnson’s snag summaries clearly show this, but the analysis in the EIS has not been updated to reflect this more accurate description of the outcome of Alts 2 and 3.</w:t>
      </w:r>
    </w:p>
    <w:p w:rsidR="00EE1DAC" w:rsidRDefault="00EE1DAC" w:rsidP="0025001E">
      <w:pPr>
        <w:ind w:left="720"/>
      </w:pPr>
    </w:p>
    <w:p w:rsidR="0025001E" w:rsidRDefault="0025001E" w:rsidP="0025001E">
      <w:pPr>
        <w:ind w:left="720"/>
      </w:pPr>
      <w:r>
        <w:t xml:space="preserve">In spite of the high likelihood that logging will make a bad situation worse in terms of snags and dead wood, the wildlife appendix says “Over time, restoration treatments would result in an increase in the amount of area with high densities of small and large diameter snags bringing the project area closer to DecAID reference conditions.” There is no quantitative analysis to support this. Every other quantitative analysis that has looked at the effects of thinning has concluded that logging </w:t>
      </w:r>
      <w:r w:rsidRPr="00EC1867">
        <w:rPr>
          <w:i/>
        </w:rPr>
        <w:t>reduces</w:t>
      </w:r>
      <w:r>
        <w:t xml:space="preserve"> future snag recruitment. We believe that a quantitative analysis of the effects of the East Hills Project on snag recruitment would show that this assertion is false. This is a critical issue because it is directly related to the plan amendment related to large trees.</w:t>
      </w:r>
    </w:p>
    <w:p w:rsidR="00EE1DAC" w:rsidRDefault="00EE1DAC" w:rsidP="0025001E"/>
    <w:p w:rsidR="0025001E" w:rsidRDefault="0025001E" w:rsidP="0025001E">
      <w:r>
        <w:t>From this analysis and comments, it is clear that logging with large tree removal has a significant adverse effects on snag recruitment, and those effects are long-lasting, extending more than 80 years after logging. Unfortunately, this effect and its consequences on wildlife relative to DecAID tolerance levels is not disclosed in the NEPA analysis for this plan amendment. This significant long-lasting impact of large tree removal is an strong indicator that this plan amendment will have significant effects are require preparation of an EIS.</w:t>
      </w:r>
    </w:p>
    <w:p w:rsidR="00EE1DAC" w:rsidRDefault="00EE1DAC" w:rsidP="0025001E"/>
    <w:p w:rsidR="0025001E" w:rsidRDefault="0025001E" w:rsidP="0025001E">
      <w:r>
        <w:t>The analysis of the no action and proposed action alternative needs to be redone to reflect these relevant facts regarding the ineffectiveness of the proposed action and the effects of logging on snag habitat.</w:t>
      </w:r>
    </w:p>
    <w:p w:rsidR="001A11A7" w:rsidRDefault="001A11A7" w:rsidP="0025001E"/>
    <w:p w:rsidR="008D4530" w:rsidRDefault="001A11A7" w:rsidP="0025001E">
      <w:pPr>
        <w:rPr>
          <w:rStyle w:val="Hyperlink"/>
        </w:rPr>
      </w:pPr>
      <w:r>
        <w:t xml:space="preserve">Surrogate species affected by snag and down wood shortage include: marten, bald eagle, black-backed woodpecker, lynx, fringed </w:t>
      </w:r>
      <w:proofErr w:type="spellStart"/>
      <w:r>
        <w:t>myotis</w:t>
      </w:r>
      <w:proofErr w:type="spellEnd"/>
      <w:r>
        <w:t xml:space="preserve">, harlequin duck, Lewis’ woodpecker, northern goshawk, pileated woodpecker, Townsend’s big-eared bat, western bluebird, white-headed woodpecker, wood duck. Gaines, William L.; Wales, Barbara C.; Suring, Lowell H.; Begley, James S.; Mellen-McLean, Kim; </w:t>
      </w:r>
      <w:proofErr w:type="spellStart"/>
      <w:r>
        <w:t>Mohoric</w:t>
      </w:r>
      <w:proofErr w:type="spellEnd"/>
      <w:r>
        <w:t xml:space="preserve">, </w:t>
      </w:r>
      <w:proofErr w:type="spellStart"/>
      <w:r>
        <w:t>Shawne</w:t>
      </w:r>
      <w:proofErr w:type="spellEnd"/>
      <w:r>
        <w:t xml:space="preserve">. 2017. Terrestrial species viability assessments for national forests in northeastern Washington. Gen. Tech. Rep. PNW-GTR-907. Portland, OR: U.S. Department of Agriculture, Forest Service, Pacific Northwest Research Station. 324 p.  </w:t>
      </w:r>
      <w:hyperlink r:id="rId87" w:history="1">
        <w:r w:rsidRPr="00B34C3A">
          <w:rPr>
            <w:rStyle w:val="Hyperlink"/>
          </w:rPr>
          <w:t>https://www.fs.fed.us/pnw/pubs/pnw_gtr907.pdf</w:t>
        </w:r>
      </w:hyperlink>
      <w:r w:rsidR="008D4530">
        <w:rPr>
          <w:rStyle w:val="Hyperlink"/>
        </w:rPr>
        <w:t>.</w:t>
      </w:r>
    </w:p>
    <w:p w:rsidR="008D4530" w:rsidRDefault="008D4530" w:rsidP="0025001E">
      <w:pPr>
        <w:rPr>
          <w:rStyle w:val="Hyperlink"/>
        </w:rPr>
      </w:pPr>
    </w:p>
    <w:p w:rsidR="008D4530" w:rsidRPr="00626559" w:rsidRDefault="008D4530" w:rsidP="008D4530">
      <w:pPr>
        <w:pStyle w:val="Heading2"/>
        <w:keepLines w:val="0"/>
        <w:numPr>
          <w:ilvl w:val="1"/>
          <w:numId w:val="0"/>
        </w:numPr>
        <w:tabs>
          <w:tab w:val="num" w:pos="0"/>
        </w:tabs>
        <w:suppressAutoHyphens/>
        <w:spacing w:before="0" w:line="240" w:lineRule="auto"/>
        <w:ind w:left="576" w:hanging="576"/>
      </w:pPr>
      <w:bookmarkStart w:id="28" w:name="_Toc40443500"/>
      <w:bookmarkStart w:id="29" w:name="_Toc53483529"/>
      <w:r>
        <w:t>REMOVING LARGE TREES WILL EXACERBATE THE SHORTAGE OF LARGE SNAGS.</w:t>
      </w:r>
      <w:bookmarkEnd w:id="28"/>
      <w:bookmarkEnd w:id="29"/>
      <w:r>
        <w:t xml:space="preserve"> </w:t>
      </w:r>
    </w:p>
    <w:p w:rsidR="008D4530" w:rsidRDefault="008D4530" w:rsidP="008D4530"/>
    <w:p w:rsidR="008D4530" w:rsidRDefault="008D4530" w:rsidP="008D4530">
      <w:r>
        <w:t xml:space="preserve">It is without question that all large snags are derived from large trees, and this proposed plan amendment will result in a direct and significant reduction in large trees and therefore large </w:t>
      </w:r>
      <w:r>
        <w:lastRenderedPageBreak/>
        <w:t xml:space="preserve">snags. This plan amendment triggers a greater concern that the FS is operating with </w:t>
      </w:r>
      <w:proofErr w:type="spellStart"/>
      <w:r>
        <w:t>out-dated</w:t>
      </w:r>
      <w:proofErr w:type="spellEnd"/>
      <w:r>
        <w:t xml:space="preserve"> and scientifically discredited standards for snag and down wood habitat. The Forest Service must confront that issue head-on before adopting a plan amendment that makes a bad situation even worse in terms of recruitment of large snags and down wood. Unfortunately, the FS has “solved” the problems with the existing snag standards by proposing new snag standards that have the exact same “potential population” flaw as the existing standard, AND call for retention of fewer snags and green trees when science says that wildlife need more snags and green trees. </w:t>
      </w:r>
    </w:p>
    <w:p w:rsidR="008D4530" w:rsidRDefault="008D4530" w:rsidP="008D4530"/>
    <w:p w:rsidR="008D4530" w:rsidRDefault="008D4530" w:rsidP="008D4530">
      <w:pPr>
        <w:pStyle w:val="BodyTextIndent"/>
      </w:pPr>
      <w:r>
        <w:rPr>
          <w:b/>
        </w:rPr>
        <w:t>What’s so important about snags and down logs?</w:t>
      </w:r>
    </w:p>
    <w:p w:rsidR="008D4530" w:rsidRDefault="008D4530" w:rsidP="008D4530">
      <w:pPr>
        <w:pStyle w:val="BodyTextIndent"/>
      </w:pPr>
      <w:r>
        <w:t>Snags provide homes to owls, woodpeckers, bats, squirrels, bluebirds, wood ducks, swallows, mergansers, weasels, raccoons and many other animals. More than 50 species of birds and mammals use snags for nesting, feeding and shelter. A lack of snag cavities for nesting can limit populations of some bird species. Snags larger than 20 inches DBH are in short supply on private lands. Snags can be created from live trees, and wildlife respond quickly to their availability.</w:t>
      </w:r>
    </w:p>
    <w:p w:rsidR="008D4530" w:rsidRDefault="008D4530" w:rsidP="008D4530">
      <w:pPr>
        <w:pStyle w:val="BodyTextIndent"/>
      </w:pPr>
      <w:r>
        <w:t>You can reduce the cost of leaving snags by selecting rotting or deformed trees. In eastern Oregon, down logs are used by 150 species of wildlife, including amphibians, reptiles, birds and mammals. Logs are also important to certain insects, fungi and plants. … [A] forest without down logs may have fewer species of plants and animals.</w:t>
      </w:r>
    </w:p>
    <w:p w:rsidR="008D4530" w:rsidRDefault="008D4530" w:rsidP="008D4530">
      <w:r>
        <w:t xml:space="preserve">Oregon Forest Resources Institute 2011. Oregon’ Forest Protection Laws – An Illustrated Manual, Revised Second Edition. </w:t>
      </w:r>
      <w:hyperlink r:id="rId88" w:history="1">
        <w:r>
          <w:rPr>
            <w:rStyle w:val="Hyperlink"/>
          </w:rPr>
          <w:t>http://www.forestresourceinstitute.com/images/or_for_protect_laws_2011.pdf</w:t>
        </w:r>
      </w:hyperlink>
      <w:r>
        <w:t>.</w:t>
      </w:r>
    </w:p>
    <w:p w:rsidR="008D4530" w:rsidRDefault="008D4530" w:rsidP="008D4530"/>
    <w:p w:rsidR="008D4530" w:rsidRDefault="008D4530" w:rsidP="008D4530">
      <w:r>
        <w:t xml:space="preserve">Snags are not just nice to have, they are an essential feature of old forests. See discussion above of diverse ecological functions provided by dead trees. The loss of snags from forests has long-term consequences because it takes a long time to replace large snags. “When a tree dies in the forest, … it is not waste. Forests need to keep their dead, or lose their health.” Lance Olsen. November, 2009. A stand of big trees without snags is not a healthy forest. The ICBEMP Scientific Analysis Group (SAG) review of selected terrestrial vertebrate populations used “large snag density as a proxy for the structural quality of old-forest habitats.” and the SAG found that </w:t>
      </w:r>
    </w:p>
    <w:p w:rsidR="008D4530" w:rsidRDefault="008D4530" w:rsidP="008D4530">
      <w:pPr>
        <w:ind w:left="720"/>
        <w:rPr>
          <w:i/>
        </w:rPr>
      </w:pPr>
      <w:r>
        <w:t>Key model factors contributing most strongly to low environmental index values and low population outcomes—</w:t>
      </w:r>
    </w:p>
    <w:p w:rsidR="008D4530" w:rsidRDefault="008D4530" w:rsidP="008D4530">
      <w:pPr>
        <w:ind w:left="720"/>
      </w:pPr>
      <w:r>
        <w:rPr>
          <w:i/>
        </w:rPr>
        <w:t>Families 1 and 2 (Old-forest families)—</w:t>
      </w:r>
    </w:p>
    <w:p w:rsidR="008D4530" w:rsidRDefault="008D4530" w:rsidP="008D4530">
      <w:pPr>
        <w:ind w:left="1080"/>
      </w:pPr>
      <w:r>
        <w:t xml:space="preserve">• Low recruitment of large snags composed of shade-intolerant tree species, such as ponderosa pine, western larch, and western white pine, as indexed by moderate and high HRV (Lewis’ woodpecker (migrant), pygmy nuthatch, </w:t>
      </w:r>
      <w:proofErr w:type="spellStart"/>
      <w:r>
        <w:t>flammulated</w:t>
      </w:r>
      <w:proofErr w:type="spellEnd"/>
      <w:r>
        <w:t xml:space="preserve"> owl), are the key factors contributing to low environmental index and low population outcomes. </w:t>
      </w:r>
    </w:p>
    <w:p w:rsidR="008D4530" w:rsidRDefault="008D4530" w:rsidP="008D4530">
      <w:pPr>
        <w:ind w:left="1080"/>
        <w:rPr>
          <w:i/>
        </w:rPr>
      </w:pPr>
      <w:r>
        <w:t xml:space="preserve">• Low quality of old-forest structural conditions (lack of diversity of size and decadence of large trees, large snags, and large logs), as indexed by declining large snag and/or large log trends (northern goshawk [summer], American marten, hoary bat), are the key factors. … </w:t>
      </w:r>
    </w:p>
    <w:p w:rsidR="008D4530" w:rsidRDefault="008D4530" w:rsidP="008D4530">
      <w:pPr>
        <w:ind w:left="720"/>
      </w:pPr>
      <w:r>
        <w:rPr>
          <w:i/>
        </w:rPr>
        <w:t xml:space="preserve">Long-eared </w:t>
      </w:r>
      <w:proofErr w:type="spellStart"/>
      <w:r>
        <w:rPr>
          <w:i/>
        </w:rPr>
        <w:t>myotis</w:t>
      </w:r>
      <w:proofErr w:type="spellEnd"/>
      <w:r>
        <w:rPr>
          <w:i/>
        </w:rPr>
        <w:t xml:space="preserve"> (Family 7)—</w:t>
      </w:r>
    </w:p>
    <w:p w:rsidR="008D4530" w:rsidRDefault="008D4530" w:rsidP="008D4530">
      <w:pPr>
        <w:ind w:left="1080"/>
        <w:rPr>
          <w:rFonts w:ascii="Cambria Math" w:hAnsi="Cambria Math" w:cs="Cambria Math"/>
          <w:i/>
          <w:iCs/>
        </w:rPr>
      </w:pPr>
      <w:r>
        <w:lastRenderedPageBreak/>
        <w:t xml:space="preserve">• … decreasing snag trends (indexing low availability of roost sites) contribute to low environmental index and low population outcomes. … </w:t>
      </w:r>
    </w:p>
    <w:p w:rsidR="008D4530" w:rsidRDefault="008D4530" w:rsidP="008D4530">
      <w:pPr>
        <w:ind w:left="720"/>
        <w:rPr>
          <w:rFonts w:ascii="Cambria Math" w:hAnsi="Cambria Math" w:cs="Cambria Math"/>
        </w:rPr>
      </w:pPr>
      <w:r>
        <w:rPr>
          <w:rFonts w:ascii="Cambria Math" w:hAnsi="Cambria Math" w:cs="Cambria Math"/>
          <w:i/>
          <w:iCs/>
        </w:rPr>
        <w:t>Western bluebird (Family 8)</w:t>
      </w:r>
      <w:r>
        <w:rPr>
          <w:rFonts w:ascii="Cambria Math" w:hAnsi="Cambria Math" w:cs="Cambria Math"/>
        </w:rPr>
        <w:t>—</w:t>
      </w:r>
    </w:p>
    <w:p w:rsidR="008D4530" w:rsidRDefault="008D4530" w:rsidP="008D4530">
      <w:pPr>
        <w:ind w:left="1080"/>
      </w:pPr>
      <w:r>
        <w:rPr>
          <w:rFonts w:ascii="Cambria Math" w:hAnsi="Cambria Math" w:cs="Cambria Math"/>
        </w:rPr>
        <w:t xml:space="preserve">• High HRV departure and declining large snag density (indexing a lack of </w:t>
      </w:r>
      <w:r>
        <w:t>shade</w:t>
      </w:r>
      <w:r>
        <w:rPr>
          <w:rFonts w:ascii="Cambria Math" w:hAnsi="Cambria Math" w:cs="Cambria Math"/>
        </w:rPr>
        <w:t>-</w:t>
      </w:r>
      <w:r>
        <w:t>intolerant</w:t>
      </w:r>
      <w:r>
        <w:rPr>
          <w:rFonts w:ascii="Cambria Math" w:hAnsi="Cambria Math" w:cs="Cambria Math"/>
        </w:rPr>
        <w:t xml:space="preserve"> tree species recruited as snags) contribute to the low environmental index and low population outcomes.</w:t>
      </w:r>
    </w:p>
    <w:p w:rsidR="008D4530" w:rsidRDefault="008D4530" w:rsidP="008D4530">
      <w:r>
        <w:t xml:space="preserve">Martin G. Raphael, Richard S. </w:t>
      </w:r>
      <w:proofErr w:type="spellStart"/>
      <w:r>
        <w:t>Holthausen</w:t>
      </w:r>
      <w:proofErr w:type="spellEnd"/>
      <w:r>
        <w:t>, Bruce G. Marcot, Terrell D. Rich, Mary M. Rowland, Barbara C. Wales, Michael J. Wisdom, 2000. DRAFT Effects of SDEIS Alternatives on Selected Terrestrial Vertebrates of Conservation Concern within the Interior Columbia River Basin Ecosystem Management Project, March 2000, revised June 23 , 2000 and November 14, 2000.</w:t>
      </w:r>
    </w:p>
    <w:p w:rsidR="008D4530" w:rsidRDefault="008D4530" w:rsidP="008D4530"/>
    <w:p w:rsidR="008D4530" w:rsidRDefault="008D4530" w:rsidP="008D4530">
      <w:r>
        <w:t xml:space="preserve">In a dynamic ecosystem life may be fleeting but the snags and logs that persist after mortality provide very critical temporal links from one stand to the next. Under natural conditions, a forest hands down a large legacy of living and dead material from one stand to another even after an intense disturbance. Even non-stand-replacing disturbance creates pulses of dead material that are critical for forest ecosystems. See </w:t>
      </w:r>
    </w:p>
    <w:p w:rsidR="008D4530" w:rsidRDefault="008D4530" w:rsidP="008D4530">
      <w:pPr>
        <w:numPr>
          <w:ilvl w:val="0"/>
          <w:numId w:val="28"/>
        </w:numPr>
        <w:suppressAutoHyphens/>
        <w:spacing w:line="240" w:lineRule="auto"/>
      </w:pPr>
      <w:r>
        <w:t xml:space="preserve">Franklin, J.F., </w:t>
      </w:r>
      <w:proofErr w:type="spellStart"/>
      <w:r>
        <w:t>Lindenmayer</w:t>
      </w:r>
      <w:proofErr w:type="spellEnd"/>
      <w:r>
        <w:t xml:space="preserve">, D., </w:t>
      </w:r>
      <w:proofErr w:type="spellStart"/>
      <w:r>
        <w:t>MacMahon</w:t>
      </w:r>
      <w:proofErr w:type="spellEnd"/>
      <w:r>
        <w:t xml:space="preserve">, J.A., McKee, A., Magnuson, J., Perry, D.A., </w:t>
      </w:r>
      <w:proofErr w:type="spellStart"/>
      <w:r>
        <w:t>Waide</w:t>
      </w:r>
      <w:proofErr w:type="spellEnd"/>
      <w:r>
        <w:t xml:space="preserve">, R., and Foster, D. 2000. Threads of Continuity. Conservation Biology in Practice. [Malden, MA] Blackwell Science, Inc. 1(1) pp9-16. </w:t>
      </w:r>
    </w:p>
    <w:p w:rsidR="008D4530" w:rsidRDefault="008D4530" w:rsidP="008D4530">
      <w:pPr>
        <w:numPr>
          <w:ilvl w:val="0"/>
          <w:numId w:val="28"/>
        </w:numPr>
        <w:suppressAutoHyphens/>
        <w:spacing w:line="240" w:lineRule="auto"/>
      </w:pPr>
      <w:r>
        <w:t xml:space="preserve">William F. </w:t>
      </w:r>
      <w:proofErr w:type="spellStart"/>
      <w:r>
        <w:t>Laudenslayer</w:t>
      </w:r>
      <w:proofErr w:type="spellEnd"/>
      <w:r>
        <w:t xml:space="preserve">, Jr., Patrick J. </w:t>
      </w:r>
      <w:proofErr w:type="spellStart"/>
      <w:r>
        <w:t>Shea</w:t>
      </w:r>
      <w:proofErr w:type="spellEnd"/>
      <w:r>
        <w:t xml:space="preserve">, Bradley E. Valentine, C. Phillip Weatherspoon, and Thomas E. Lisle </w:t>
      </w:r>
      <w:r>
        <w:rPr>
          <w:i/>
          <w:iCs/>
        </w:rPr>
        <w:t xml:space="preserve">Technical Coordinators. </w:t>
      </w:r>
      <w:r>
        <w:rPr>
          <w:u w:val="single"/>
        </w:rPr>
        <w:t>Proceedings of the Symposium on the Ecology and Management of Dead Wood in Western Forests.</w:t>
      </w:r>
      <w:r>
        <w:t xml:space="preserve"> PSW-GTR-181. </w:t>
      </w:r>
      <w:hyperlink r:id="rId89" w:history="1">
        <w:r>
          <w:rPr>
            <w:rStyle w:val="Hyperlink"/>
          </w:rPr>
          <w:t>http://www.fs.fed.us/psw/publications/documents/gtr-181/</w:t>
        </w:r>
      </w:hyperlink>
      <w:r>
        <w:t>.</w:t>
      </w:r>
    </w:p>
    <w:p w:rsidR="008D4530" w:rsidRDefault="008D4530" w:rsidP="008D4530">
      <w:pPr>
        <w:numPr>
          <w:ilvl w:val="0"/>
          <w:numId w:val="28"/>
        </w:numPr>
        <w:suppressAutoHyphens/>
        <w:spacing w:line="240" w:lineRule="auto"/>
      </w:pPr>
      <w:proofErr w:type="spellStart"/>
      <w:r>
        <w:t>Lofroth</w:t>
      </w:r>
      <w:proofErr w:type="spellEnd"/>
      <w:r>
        <w:t xml:space="preserve">, Eric. 1998. The dead wood cycle. In: Conservation biology principles for forested landscapes. Edited by J. </w:t>
      </w:r>
      <w:proofErr w:type="spellStart"/>
      <w:r>
        <w:t>Voller</w:t>
      </w:r>
      <w:proofErr w:type="spellEnd"/>
      <w:r>
        <w:t xml:space="preserve"> and S. Harrison. UBC Press, Vancouver, B.C. pp. 185-214. 243 p. </w:t>
      </w:r>
      <w:hyperlink r:id="rId90" w:history="1">
        <w:r>
          <w:rPr>
            <w:rStyle w:val="Hyperlink"/>
          </w:rPr>
          <w:t>http://www.for.gov.bc.ca/hre/deadwood/DTrol.htm</w:t>
        </w:r>
      </w:hyperlink>
      <w:r>
        <w:t>.</w:t>
      </w:r>
    </w:p>
    <w:p w:rsidR="008D4530" w:rsidRDefault="008D4530" w:rsidP="008D4530">
      <w:pPr>
        <w:numPr>
          <w:ilvl w:val="0"/>
          <w:numId w:val="28"/>
        </w:numPr>
        <w:suppressAutoHyphens/>
        <w:spacing w:line="240" w:lineRule="auto"/>
      </w:pPr>
      <w:r>
        <w:t xml:space="preserve">Rose, C.L., Marcot, B.G., Mellen, T.K., Ohmann, J.L., Waddell, K.L., Lindely, D.L., and B. Schrieber. 2001. Decaying Wood in Pacific Northwest Forests: Concepts and Tools for Habitat Management, Chapter 24 </w:t>
      </w:r>
      <w:r>
        <w:rPr>
          <w:i/>
        </w:rPr>
        <w:t>in</w:t>
      </w:r>
      <w:r>
        <w:t xml:space="preserve"> </w:t>
      </w:r>
      <w:r>
        <w:rPr>
          <w:b/>
          <w:bCs/>
          <w:i/>
          <w:iCs/>
        </w:rPr>
        <w:t>Wildlife-Habitat Relationships in Oregon and Washington</w:t>
      </w:r>
      <w:r>
        <w:t xml:space="preserve"> (Johnson, D. H. and T. A. O'Neil. OSU Press. 2001) </w:t>
      </w:r>
      <w:hyperlink r:id="rId91" w:history="1">
        <w:r>
          <w:rPr>
            <w:rStyle w:val="Hyperlink"/>
          </w:rPr>
          <w:t>http://www.fs.fed.us/wildecology/decaid/decaid_background/chapter24cwb.pdf</w:t>
        </w:r>
      </w:hyperlink>
      <w:r>
        <w:t xml:space="preserve"> </w:t>
      </w:r>
    </w:p>
    <w:p w:rsidR="008D4530" w:rsidRDefault="008D4530" w:rsidP="008D4530">
      <w:pPr>
        <w:numPr>
          <w:ilvl w:val="0"/>
          <w:numId w:val="28"/>
        </w:numPr>
        <w:suppressAutoHyphens/>
        <w:spacing w:line="240" w:lineRule="auto"/>
      </w:pPr>
      <w:r>
        <w:t xml:space="preserve">Stevens, Victoria. 1997. The ecological role of coarse woody debris: an overview of the ecological importance of CWD in B.C. forests. Res. Br., B.C. Min. For., Victoria, B.C. Work. Pap. 30/1997. </w:t>
      </w:r>
      <w:hyperlink r:id="rId92" w:history="1">
        <w:r>
          <w:rPr>
            <w:rStyle w:val="Hyperlink"/>
          </w:rPr>
          <w:t>http://www.for.gov.bc.ca/hfd/pubs/docs/Wp/Wp30.pdf</w:t>
        </w:r>
      </w:hyperlink>
      <w:r>
        <w:t>.</w:t>
      </w:r>
    </w:p>
    <w:p w:rsidR="008D4530" w:rsidRDefault="008D4530" w:rsidP="008D4530">
      <w:pPr>
        <w:numPr>
          <w:ilvl w:val="0"/>
          <w:numId w:val="28"/>
        </w:numPr>
        <w:suppressAutoHyphens/>
        <w:spacing w:line="240" w:lineRule="auto"/>
      </w:pPr>
      <w:r>
        <w:t xml:space="preserve">Hagar, Joan, 2007, Assessment and management of dead-wood habitat: USGS Administrative Report 20071054, pp. 1-32. </w:t>
      </w:r>
      <w:hyperlink r:id="rId93" w:history="1">
        <w:r>
          <w:rPr>
            <w:rStyle w:val="Hyperlink"/>
          </w:rPr>
          <w:t>http://pubs.usgs.gov/of/2007/1054/pdf/ofr20071054.pdf</w:t>
        </w:r>
      </w:hyperlink>
      <w:r>
        <w:t xml:space="preserve"> </w:t>
      </w:r>
    </w:p>
    <w:p w:rsidR="008D4530" w:rsidRDefault="008D4530" w:rsidP="008D4530">
      <w:pPr>
        <w:numPr>
          <w:ilvl w:val="0"/>
          <w:numId w:val="28"/>
        </w:numPr>
        <w:suppressAutoHyphens/>
        <w:spacing w:line="240" w:lineRule="auto"/>
      </w:pPr>
      <w:r>
        <w:t xml:space="preserve">Bruce G. Marcot 2017. Ecosystem Processes Related to Wood Decay. PNW Research Note 576. </w:t>
      </w:r>
      <w:hyperlink r:id="rId94" w:history="1">
        <w:r w:rsidRPr="0021413C">
          <w:rPr>
            <w:rStyle w:val="Hyperlink"/>
          </w:rPr>
          <w:t>https://www.fs.fed.us/pnw/pubs/pnw_rn576.pdf</w:t>
        </w:r>
      </w:hyperlink>
      <w:r>
        <w:t xml:space="preserve"> </w:t>
      </w:r>
    </w:p>
    <w:p w:rsidR="008D4530" w:rsidRDefault="008D4530" w:rsidP="008D4530">
      <w:pPr>
        <w:numPr>
          <w:ilvl w:val="0"/>
          <w:numId w:val="28"/>
        </w:numPr>
        <w:suppressAutoHyphens/>
        <w:spacing w:line="240" w:lineRule="auto"/>
      </w:pPr>
      <w:r w:rsidRPr="005325D0">
        <w:t xml:space="preserve">Jennie </w:t>
      </w:r>
      <w:proofErr w:type="spellStart"/>
      <w:r w:rsidRPr="005325D0">
        <w:t>Sandström</w:t>
      </w:r>
      <w:proofErr w:type="spellEnd"/>
      <w:r w:rsidRPr="005325D0">
        <w:t xml:space="preserve"> et al. </w:t>
      </w:r>
      <w:r>
        <w:t xml:space="preserve">2019. </w:t>
      </w:r>
      <w:r w:rsidRPr="005325D0">
        <w:t>Impacts of dead wood manipulation on the biodiversity of temperate and boreal forests. A systematic review, Journal of Applied Ecology (2019). DOI: 10.1111/1365-2664.13395</w:t>
      </w:r>
      <w:r>
        <w:t xml:space="preserve">. </w:t>
      </w:r>
      <w:hyperlink r:id="rId95" w:history="1">
        <w:r>
          <w:rPr>
            <w:rStyle w:val="Hyperlink"/>
          </w:rPr>
          <w:t>https://besjournals.onlinelibrary.wiley.com/doi/pdf/10.1111/1365-2664.13395</w:t>
        </w:r>
      </w:hyperlink>
    </w:p>
    <w:p w:rsidR="008D4530" w:rsidRDefault="008D4530" w:rsidP="008D4530"/>
    <w:p w:rsidR="008D4530" w:rsidRDefault="008D4530" w:rsidP="008D4530">
      <w:r>
        <w:lastRenderedPageBreak/>
        <w:t>The Forest Service even has a public education program called “Animal Inn” intended to inform the public of the value of dead wood, unfortunately the agencies still don’t fully recognize these values:</w:t>
      </w:r>
    </w:p>
    <w:p w:rsidR="008D4530" w:rsidRDefault="008D4530" w:rsidP="008D4530">
      <w:pPr>
        <w:ind w:left="720"/>
      </w:pPr>
      <w:r>
        <w:t>Nearly a third of all forest creatures depend on standing dead or fallen trees for their survival. ANIMAL INNS provide shelter, nest sites, and feeding areas for over 1200 species of birds, mammals, amphibians, and reptiles; over 60% of which feed on insects. These insect-eating species act as natural biological regulators to dampen the effects of insect outbreaks in forested lands, thereby performing an important ecosystem function. Fish benefit from trees that have fallen into stream channels.</w:t>
      </w:r>
    </w:p>
    <w:p w:rsidR="008D4530" w:rsidRDefault="00347CB8" w:rsidP="008D4530">
      <w:hyperlink r:id="rId96" w:history="1">
        <w:r w:rsidR="008D4530">
          <w:rPr>
            <w:rStyle w:val="Hyperlink"/>
          </w:rPr>
          <w:t>http://web.archive.org/web/20021122150003/http://www.fs.fed.us/r6/nr/wildlife/animalinn/basicneed.htm</w:t>
        </w:r>
      </w:hyperlink>
      <w:r w:rsidR="008D4530">
        <w:t xml:space="preserve">. See also: </w:t>
      </w:r>
      <w:hyperlink r:id="rId97" w:history="1">
        <w:r w:rsidR="008D4530">
          <w:rPr>
            <w:rStyle w:val="Hyperlink"/>
          </w:rPr>
          <w:t>http://web.archive.org/web/20021017194337/http://www.fs.fed.us/r6/nr/wildlife/animalinn/habitat.htm</w:t>
        </w:r>
      </w:hyperlink>
      <w:r w:rsidR="008D4530">
        <w:t xml:space="preserve"> </w:t>
      </w:r>
    </w:p>
    <w:p w:rsidR="008D4530" w:rsidRDefault="008D4530" w:rsidP="008D4530"/>
    <w:p w:rsidR="008D4530" w:rsidRDefault="008D4530" w:rsidP="008D4530">
      <w:pPr>
        <w:rPr>
          <w:color w:val="000000"/>
        </w:rPr>
      </w:pPr>
      <w:r>
        <w:rPr>
          <w:color w:val="000000"/>
        </w:rPr>
        <w:t xml:space="preserve">An important and under-appreciated ecological process is the cycle of biomass accumulation (e.g., large snag and dead wood are vastly under-represented on the landscape because management is so focused on controlling and preventing mortality.) The full life-cycle of a tree starts with photosynthesis that captures carbon from the air to build a magnificent tree but it includes decades to centuries of "life" as a snag, down wood, and soil enhancement before it returns to the atmosphere to begin the cycle again. The dead wood portion of this cycle needs to be re-established to enhance biodiversity, hydrology, soil productivity, and carbon storage. The NEPA analysis needs to recognize the full life-cycle of forests including the ecological, hydrological and carbon-cycle value of both live </w:t>
      </w:r>
      <w:r>
        <w:rPr>
          <w:color w:val="000000"/>
          <w:u w:val="single"/>
        </w:rPr>
        <w:t>and dead</w:t>
      </w:r>
      <w:r>
        <w:rPr>
          <w:color w:val="000000"/>
        </w:rPr>
        <w:t xml:space="preserve"> trees.</w:t>
      </w:r>
    </w:p>
    <w:p w:rsidR="008D4530" w:rsidRDefault="008D4530" w:rsidP="008D4530">
      <w:pPr>
        <w:rPr>
          <w:color w:val="000000"/>
        </w:rPr>
      </w:pPr>
    </w:p>
    <w:p w:rsidR="008D4530" w:rsidRDefault="008D4530" w:rsidP="008D4530">
      <w:r>
        <w:t xml:space="preserve">Dynamic ecosystems historically included large-scale mortality events both pulsed and continuous. Mortality and biomass accumulation are natural and desirable ecological processes that forest management has been working for decades to capture, suppress, and avoid. Large snags are severely under-represented in our forests and logging will capture, reduce and delay recruitment of future large snags. Ohmann et al (1994) found that non-federal forestlands do not retain enough snags to support viable wildlife populations, so federal managers likely need to retain more snags on federal lands to compensate. Ohmann, </w:t>
      </w:r>
      <w:proofErr w:type="spellStart"/>
      <w:r>
        <w:t>McComb</w:t>
      </w:r>
      <w:proofErr w:type="spellEnd"/>
      <w:r>
        <w:t xml:space="preserve">, &amp; </w:t>
      </w:r>
      <w:proofErr w:type="spellStart"/>
      <w:r>
        <w:t>Zumrawi</w:t>
      </w:r>
      <w:proofErr w:type="spellEnd"/>
      <w:r>
        <w:t xml:space="preserve">; </w:t>
      </w:r>
      <w:r>
        <w:rPr>
          <w:bCs/>
        </w:rPr>
        <w:t xml:space="preserve">SNAG ABUNDANCE FOR PRIMARY CAVITY-NESTING BIRDS ON NONFEDERAL FOREST LANDS IN OREGON AND WASHINGTON; </w:t>
      </w:r>
      <w:proofErr w:type="spellStart"/>
      <w:r>
        <w:rPr>
          <w:bCs/>
          <w:i/>
          <w:iCs/>
        </w:rPr>
        <w:t>Wildl</w:t>
      </w:r>
      <w:proofErr w:type="spellEnd"/>
      <w:r>
        <w:rPr>
          <w:bCs/>
          <w:i/>
          <w:iCs/>
        </w:rPr>
        <w:t xml:space="preserve">. Soc. Bull. 22:607-620, </w:t>
      </w:r>
      <w:r>
        <w:rPr>
          <w:bCs/>
          <w:iCs/>
        </w:rPr>
        <w:t xml:space="preserve">1994 </w:t>
      </w:r>
      <w:hyperlink r:id="rId98" w:history="1">
        <w:r w:rsidRPr="008D1F4C">
          <w:rPr>
            <w:rStyle w:val="Hyperlink"/>
            <w:bCs/>
            <w:iCs/>
          </w:rPr>
          <w:t>http://web.archive.org/web/20041107222037/http://www.fs.fed.us/pnw/pubs/journals/ohmann-snagabundance.pdf</w:t>
        </w:r>
      </w:hyperlink>
      <w:r>
        <w:rPr>
          <w:bCs/>
          <w:iCs/>
        </w:rPr>
        <w:t xml:space="preserve">. </w:t>
      </w:r>
      <w:r>
        <w:t xml:space="preserve">Even when snag removal is not an intentional design feature of a project, hazard tree felling normally occurs in all treatment areas, plus a safety buffer around all treatment areas, plus a safety corridor along roads, and other work areas. Furthermore, non-federal lands are not managed for snag habitat. These are some of the reasons why Korol et al (2002) found that large snag habitat is below historic range of variability, and in the future, even if we apply enlightened forest management on federal lands in the Interior Columbia Basin for </w:t>
      </w:r>
      <w:r>
        <w:lastRenderedPageBreak/>
        <w:t xml:space="preserve">the next 100 years, we will still reach only 75% of the historic large snag abundance, and most of the increase in large snags will occur in roadless and wilderness areas. Jerome J. Korol, Miles A. Hemstrom, </w:t>
      </w:r>
      <w:proofErr w:type="spellStart"/>
      <w:r>
        <w:t>Wendel</w:t>
      </w:r>
      <w:proofErr w:type="spellEnd"/>
      <w:r>
        <w:t xml:space="preserve"> J. Hann, and Rebecca A. Gravenmier. 2002. Snags and Down Wood in the Interior Columbia Basin Ecosystem Management Project. PNW-GTR-181. </w:t>
      </w:r>
      <w:hyperlink r:id="rId99" w:history="1">
        <w:r>
          <w:rPr>
            <w:rStyle w:val="Hyperlink"/>
          </w:rPr>
          <w:t>http://www.fs.fed.us/psw/publications/documents/gtr-181/049_Korol.pdf</w:t>
        </w:r>
      </w:hyperlink>
      <w:r>
        <w:t xml:space="preserve">. </w:t>
      </w:r>
    </w:p>
    <w:p w:rsidR="008D4530" w:rsidRDefault="008D4530" w:rsidP="008D4530"/>
    <w:p w:rsidR="008D4530" w:rsidRDefault="008D4530" w:rsidP="008D4530">
      <w:r>
        <w:t xml:space="preserve">Wisdom et al (2008) found that snag abundance in the Pacific northwest forests is inversely related to past harvest and proximity to roads. Wisdom, M.J., and Bate, L.J. 2008. Snag density varies with intensity of timber harvest and human access. For. Ecol. Manage. 255: 2085–2093. doi:10.1016/j.foreco.2007.12.027. </w:t>
      </w:r>
      <w:hyperlink r:id="rId100" w:history="1">
        <w:r w:rsidRPr="006611AB">
          <w:rPr>
            <w:rStyle w:val="Hyperlink"/>
          </w:rPr>
          <w:t>http://www.fs.fed.us/pnw/pubs/journals/pnw_2008_wisdom001.pdf</w:t>
        </w:r>
      </w:hyperlink>
      <w:r>
        <w:t xml:space="preserve"> (“Our highest snag density … occurred in unharvested stands that had no adjacent roads. … Stands with no history of timber harvest had 3 times the density of snags as stands selectively harvested, and 19 times the density as stands having undergone complete harvest. Stands not adjacent to roads had almost 3 times the density of snags as stands adjacent to roads.”) </w:t>
      </w:r>
    </w:p>
    <w:p w:rsidR="008D4530" w:rsidRDefault="008D4530" w:rsidP="008D4530"/>
    <w:p w:rsidR="008D4530" w:rsidRDefault="008D4530" w:rsidP="008D4530">
      <w:pPr>
        <w:rPr>
          <w:color w:val="000000"/>
        </w:rPr>
      </w:pPr>
      <w:r>
        <w:t>This analysis must not make the common mistakes of under-estimating how much snags and down wood a healthy forest should have, and the long-term adverse effects of logging on dead wood recruitment. The 2017 Science Synthesis for the NW Forest Plan says partial cutting in older forests will “strongly impact dead wood amounts, and the accompanying road and harvest system will add additional impacts.”</w:t>
      </w:r>
    </w:p>
    <w:p w:rsidR="008D4530" w:rsidRDefault="008D4530" w:rsidP="008D4530"/>
    <w:p w:rsidR="008D4530" w:rsidRDefault="008D4530" w:rsidP="008D4530">
      <w:pPr>
        <w:autoSpaceDE w:val="0"/>
      </w:pPr>
      <w:r>
        <w:t xml:space="preserve">Snags have been severely depleted across the eastside forests. The ICBEMP Scientific Analysis Group found that “Across the [interior Columbia River] basin (all lands) large snags have declined more than 30 percent. This was most likely a reflection of the loss of late-seral forests, particularly in the dry and moist PVGs.” Miles A. Hemstrom, </w:t>
      </w:r>
      <w:proofErr w:type="spellStart"/>
      <w:r>
        <w:t>Wendel</w:t>
      </w:r>
      <w:proofErr w:type="spellEnd"/>
      <w:r>
        <w:t xml:space="preserve"> J. Hann, Rebecca A. Gravenmier, Jerome J. Korol. 2000. [SAG] Landscape Effects Analysis of the [ICBEMP] SDEIS Alternatives. USDA/USDI, </w:t>
      </w:r>
      <w:r>
        <w:rPr>
          <w:i/>
        </w:rPr>
        <w:t>draft</w:t>
      </w:r>
      <w:r>
        <w:t xml:space="preserve"> March 2000. </w:t>
      </w:r>
    </w:p>
    <w:p w:rsidR="008D4530" w:rsidRDefault="008D4530" w:rsidP="008D4530">
      <w:pPr>
        <w:autoSpaceDE w:val="0"/>
      </w:pPr>
    </w:p>
    <w:p w:rsidR="008D4530" w:rsidRDefault="008D4530" w:rsidP="008D4530">
      <w:pPr>
        <w:autoSpaceDE w:val="0"/>
      </w:pPr>
      <w:r>
        <w:t>The Eastside Screens interim wildlife standard recognizes that maintaining healthy wildlife populations requires abundant dead wood and that past practices have depleted the dead wood resource:</w:t>
      </w:r>
    </w:p>
    <w:p w:rsidR="008D4530" w:rsidRDefault="008D4530" w:rsidP="008D4530">
      <w:pPr>
        <w:autoSpaceDE w:val="0"/>
        <w:ind w:left="720"/>
      </w:pPr>
      <w:r>
        <w:t>Snags, Green Tree Replacements and Down Logs:</w:t>
      </w:r>
    </w:p>
    <w:p w:rsidR="008D4530" w:rsidRDefault="008D4530" w:rsidP="008D4530">
      <w:pPr>
        <w:autoSpaceDE w:val="0"/>
        <w:ind w:left="720"/>
      </w:pPr>
      <w:r>
        <w:t>INTENT STATEMENT – Most (if not all) wildlife species rely on moderate to high levels of snags and down logs for nesting, roosting, denning and feeding. Large down logs are a common and important component of most old and late structural forests. Past management practices have greatly reduced the number of large snags and down logs in managed stands.</w:t>
      </w:r>
    </w:p>
    <w:p w:rsidR="008D4530" w:rsidRDefault="008D4530" w:rsidP="008D4530">
      <w:pPr>
        <w:autoSpaceDE w:val="0"/>
      </w:pPr>
    </w:p>
    <w:p w:rsidR="008D4530" w:rsidRDefault="008D4530" w:rsidP="008D4530">
      <w:pPr>
        <w:autoSpaceDE w:val="0"/>
      </w:pPr>
      <w:r>
        <w:lastRenderedPageBreak/>
        <w:t>The Screens call for application of the following MINIMUM standards with respect to snag habitat …</w:t>
      </w:r>
    </w:p>
    <w:p w:rsidR="008D4530" w:rsidRDefault="008D4530" w:rsidP="008D4530">
      <w:pPr>
        <w:pStyle w:val="BodyTextIndent"/>
        <w:autoSpaceDE w:val="0"/>
        <w:rPr>
          <w:szCs w:val="24"/>
        </w:rPr>
      </w:pPr>
      <w:r>
        <w:rPr>
          <w:szCs w:val="24"/>
        </w:rPr>
        <w:t>100% potential population levels of primary cavity excavators. This should be determined using the best available science on species requirements as applied through current snag models or other documented procedures.</w:t>
      </w:r>
    </w:p>
    <w:p w:rsidR="008D4530" w:rsidRDefault="008D4530" w:rsidP="008D4530">
      <w:pPr>
        <w:autoSpaceDE w:val="0"/>
      </w:pPr>
      <w:r>
        <w:t>Unfortunately, the Eastside Screens still rely on the discredited potential population method. The Forest Service has numbers for meeting 100% potential population levels and strives to meet targets that are known to be inadequate. Even if the agency aims for a target above 100% potential population levels, the agency is still using an invalid reference point that does not belong in the NEPA analysis. The best available science has not been incorporated into the standards. The agency lacks the “documented procedures” for meeting snag habitat requirements called for in the Eastside Screens.</w:t>
      </w:r>
    </w:p>
    <w:p w:rsidR="008D4530" w:rsidRDefault="008D4530" w:rsidP="008D4530">
      <w:pPr>
        <w:autoSpaceDE w:val="0"/>
      </w:pPr>
    </w:p>
    <w:p w:rsidR="008D4530" w:rsidRDefault="008D4530" w:rsidP="008D4530">
      <w:pPr>
        <w:autoSpaceDE w:val="0"/>
      </w:pPr>
      <w:r>
        <w:t>The 9</w:t>
      </w:r>
      <w:r>
        <w:rPr>
          <w:vertAlign w:val="superscript"/>
        </w:rPr>
        <w:t>th</w:t>
      </w:r>
      <w:r>
        <w:t xml:space="preserve"> Circuit recently reiterated that “species viability may be met by estimating and preserving habitat ‘</w:t>
      </w:r>
      <w:r>
        <w:rPr>
          <w:i/>
          <w:iCs/>
        </w:rPr>
        <w:t xml:space="preserve">only </w:t>
      </w:r>
      <w:r>
        <w:t xml:space="preserve">where </w:t>
      </w:r>
      <w:r>
        <w:rPr>
          <w:i/>
          <w:iCs/>
        </w:rPr>
        <w:t xml:space="preserve">both </w:t>
      </w:r>
      <w:r>
        <w:t xml:space="preserve">the Forest Service’s knowledge of what quality and quantity of habitat is necessary to support the species </w:t>
      </w:r>
      <w:r>
        <w:rPr>
          <w:i/>
          <w:iCs/>
        </w:rPr>
        <w:t xml:space="preserve">and </w:t>
      </w:r>
      <w:r>
        <w:t xml:space="preserve">the Forest Service’s </w:t>
      </w:r>
      <w:r>
        <w:rPr>
          <w:i/>
          <w:iCs/>
        </w:rPr>
        <w:t>method for measuring the existing amount of that habitat are reasonably reliable and accurate</w:t>
      </w:r>
      <w:r>
        <w:t xml:space="preserve">.’ </w:t>
      </w:r>
      <w:r>
        <w:rPr>
          <w:i/>
          <w:iCs/>
        </w:rPr>
        <w:t>Earth Island Inst. v. U.S. Forest Serv.</w:t>
      </w:r>
      <w:r>
        <w:t xml:space="preserve">, 442 F.3d 1147, 1175-76 (9th Cir. 2006) (quoting </w:t>
      </w:r>
      <w:r>
        <w:rPr>
          <w:i/>
          <w:iCs/>
        </w:rPr>
        <w:t>Native Ecosystems Council v. U.S. Forest Serv.</w:t>
      </w:r>
      <w:r>
        <w:t xml:space="preserve">, 428 F.3d 1233, 1250 (9th Cir. 2005))” </w:t>
      </w:r>
      <w:r>
        <w:rPr>
          <w:u w:val="single"/>
        </w:rPr>
        <w:t>ONRC v. Goodman</w:t>
      </w:r>
      <w:r>
        <w:t xml:space="preserve"> (Mt Ashland case, 9</w:t>
      </w:r>
      <w:r>
        <w:rPr>
          <w:vertAlign w:val="superscript"/>
        </w:rPr>
        <w:t>th</w:t>
      </w:r>
      <w:r>
        <w:t xml:space="preserve"> Circuit Sept 24, 2007) (emphasis added). </w:t>
      </w:r>
    </w:p>
    <w:p w:rsidR="008D4530" w:rsidRDefault="00347CB8" w:rsidP="008D4530">
      <w:pPr>
        <w:autoSpaceDE w:val="0"/>
      </w:pPr>
      <w:hyperlink r:id="rId101" w:history="1">
        <w:r w:rsidR="008D4530">
          <w:rPr>
            <w:rStyle w:val="Hyperlink"/>
          </w:rPr>
          <w:t>http://caselaw.findlaw.com/us-9th-circuit/1151013.html</w:t>
        </w:r>
      </w:hyperlink>
    </w:p>
    <w:p w:rsidR="008D4530" w:rsidRDefault="008D4530" w:rsidP="008D4530">
      <w:pPr>
        <w:autoSpaceDE w:val="0"/>
      </w:pPr>
      <w:r>
        <w:t xml:space="preserve">and </w:t>
      </w:r>
      <w:hyperlink r:id="rId102" w:history="1">
        <w:r>
          <w:rPr>
            <w:rStyle w:val="Hyperlink"/>
          </w:rPr>
          <w:t>http://caselaw.findlaw.com/us-9th-circuit/1094367.html</w:t>
        </w:r>
      </w:hyperlink>
      <w:r>
        <w:t>.</w:t>
      </w:r>
    </w:p>
    <w:p w:rsidR="008D4530" w:rsidRDefault="008D4530" w:rsidP="008D4530">
      <w:pPr>
        <w:autoSpaceDE w:val="0"/>
      </w:pPr>
    </w:p>
    <w:p w:rsidR="008D4530" w:rsidRDefault="008D4530" w:rsidP="008D4530">
      <w:pPr>
        <w:autoSpaceDE w:val="0"/>
      </w:pPr>
      <w:r>
        <w:t>The Forest Service cannot provide any assurance that its plans and projects will assure viable populations of native wildlife that depend on dead trees. The Forest Service does not know how many snags are necessary to support viable populations of cavity associated species. The Forest Service has provided no credible link between DecAID tolerance levels, potential population levels, and/or viable populations. The Forest Service has also failed to reliably quantify existing and projected habitat for snag associated species.</w:t>
      </w:r>
    </w:p>
    <w:p w:rsidR="008D4530" w:rsidRDefault="008D4530" w:rsidP="008D4530"/>
    <w:p w:rsidR="008D4530" w:rsidRDefault="008D4530" w:rsidP="008D4530">
      <w:r>
        <w:t>An unavoidable impact of all commercial logging is to “capture mortality” which reduces valuable snag habitat in the short-term (via hazard tree felling) and in the long-term (via delayed recruitment and reduced overall recruitment). Thinning will reduce density-dependent mortality within logged stands. This plan amendment to allow removal of large trees will make a bad situation worse.</w:t>
      </w:r>
    </w:p>
    <w:p w:rsidR="008D4530" w:rsidRDefault="008D4530" w:rsidP="008D4530"/>
    <w:p w:rsidR="008D4530" w:rsidRDefault="008D4530" w:rsidP="008D4530">
      <w:r>
        <w:t xml:space="preserve">Dead wood in forests is thought to follow a U-shaped pattern over time “from the combined and lagged effects of legacy wood decay and the recruitment of new dead wood,” (Harmon 1986, </w:t>
      </w:r>
      <w:proofErr w:type="spellStart"/>
      <w:r>
        <w:t>Hudiburg</w:t>
      </w:r>
      <w:proofErr w:type="spellEnd"/>
      <w:r>
        <w:t xml:space="preserve"> 2009) resulting in abundant dead wood legacies from the previous stand in young forests, less dead wood in middle-aged stands as the legacies decay, and more again in older stands as natural mortality processes manifest. If the goal is to restore high quality old forest </w:t>
      </w:r>
      <w:r>
        <w:lastRenderedPageBreak/>
        <w:t>habitat, the agencies must respect this dynamic by recognizing that dead wood recruitment requires (1) “surplus” biomass and (2) it’s a process that takes time, so managers should ensure that middle-aged stands accumulate biomass and begin to recruit and accumulate snags and dead wood. The low of dead wood in middle aged stands is not universal or necessarily desirable, and since many young stands were deprived of the legacies they normally enjoy, it would be advisable to start accumulating snags and dead wood as soon as possible, not wait for mature stages.</w:t>
      </w:r>
    </w:p>
    <w:p w:rsidR="008D4530" w:rsidRDefault="008D4530" w:rsidP="008D4530"/>
    <w:p w:rsidR="008D4530" w:rsidRDefault="008D4530" w:rsidP="008D4530">
      <w:r>
        <w:t xml:space="preserve">The federal forest agencies now recognize that current methods and assumptions concerning snag habitat standards are outdated, and the old snag standards do not ensure enough snags to meet the intent of the standard, yet the agencies have not adjusted their management plans to account for this new information nor have they developed new standards that are consistent with the latest scientific information. </w:t>
      </w:r>
    </w:p>
    <w:p w:rsidR="008D4530" w:rsidRDefault="008D4530" w:rsidP="008D4530"/>
    <w:p w:rsidR="008D4530" w:rsidRDefault="008D4530" w:rsidP="008D4530">
      <w:pPr>
        <w:rPr>
          <w:b/>
        </w:rPr>
      </w:pPr>
      <w:r>
        <w:t>As explained on the DecAID website:</w:t>
      </w:r>
    </w:p>
    <w:p w:rsidR="008D4530" w:rsidRDefault="008D4530" w:rsidP="008D4530">
      <w:pPr>
        <w:ind w:left="720"/>
      </w:pPr>
      <w:r>
        <w:rPr>
          <w:b/>
        </w:rPr>
        <w:t>Why is DecAID needed?</w:t>
      </w:r>
    </w:p>
    <w:p w:rsidR="008D4530" w:rsidRDefault="008D4530" w:rsidP="008D4530">
      <w:pPr>
        <w:ind w:left="720"/>
      </w:pPr>
      <w:r>
        <w:t>National Forest LRMP standards and guidelines for management of snags and down wood in the Pacific Northwest were based on wildlife species models and tools that were developed in the 1970s and 1980s (Thomas et al. 1979, Neitro et al. 1985, Marcot 1992, Raphael 1983). New information about the ecology, dynamics, and management of decayed wood has been published since then, and the state of the knowledge continues to change. Rose et al. (2001) report that results of monitoring indicate that the biological potential models are a flawed technique (page 602). There has been an evolution from thinking of large woody material as habitat structures, to thinking of decaying wood as an integral part of complex ecosystems and ecological processes.</w:t>
      </w:r>
    </w:p>
    <w:p w:rsidR="008D4530" w:rsidRDefault="008D4530" w:rsidP="008D4530">
      <w:pPr>
        <w:ind w:left="720"/>
      </w:pPr>
    </w:p>
    <w:p w:rsidR="008D4530" w:rsidRDefault="008D4530" w:rsidP="008D4530">
      <w:pPr>
        <w:ind w:left="720"/>
      </w:pPr>
      <w:r>
        <w:t>This paradigm shift has made the management of dead wood a much more complex task. We can no longer expect to go to our LRMPs or the biological potential model to get one number for the amount or size of snags and down wood that we can apply to all projects and to all acres. We are directed to use the best available science to manage ecosystems, and the best available science simply will not support business as usual for managing dead wood.</w:t>
      </w:r>
    </w:p>
    <w:p w:rsidR="008D4530" w:rsidRDefault="008D4530" w:rsidP="008D4530">
      <w:r>
        <w:t xml:space="preserve">Region 6 - USDA Forest Service. A Guide to the Interpretation and Use of the DecAID Advisor. June, 2006. </w:t>
      </w:r>
      <w:hyperlink r:id="rId103" w:history="1">
        <w:r>
          <w:rPr>
            <w:rStyle w:val="Hyperlink"/>
          </w:rPr>
          <w:t>http://www.fs.fed.us/r6/nr/wildlife/decaid-guide/</w:t>
        </w:r>
      </w:hyperlink>
    </w:p>
    <w:p w:rsidR="008D4530" w:rsidRDefault="008D4530" w:rsidP="008D4530"/>
    <w:p w:rsidR="008D4530" w:rsidRDefault="008D4530" w:rsidP="008D4530">
      <w:r>
        <w:t xml:space="preserve">A few of the problems with the old standards are: </w:t>
      </w:r>
    </w:p>
    <w:p w:rsidR="008D4530" w:rsidRDefault="008D4530" w:rsidP="008D4530">
      <w:pPr>
        <w:numPr>
          <w:ilvl w:val="0"/>
          <w:numId w:val="26"/>
        </w:numPr>
        <w:suppressAutoHyphens/>
        <w:spacing w:line="240" w:lineRule="auto"/>
        <w:ind w:left="360"/>
      </w:pPr>
      <w:r>
        <w:t>They failed to account for the fact that the number of snags needed for roosting, escape, and foraging can exceed the number of snags needed for nesting;</w:t>
      </w:r>
    </w:p>
    <w:p w:rsidR="008D4530" w:rsidRDefault="008D4530" w:rsidP="008D4530">
      <w:pPr>
        <w:numPr>
          <w:ilvl w:val="0"/>
          <w:numId w:val="26"/>
        </w:numPr>
        <w:suppressAutoHyphens/>
        <w:spacing w:line="240" w:lineRule="auto"/>
        <w:ind w:left="360"/>
      </w:pPr>
      <w:r>
        <w:t xml:space="preserve">They failed to recognize that the number of snags needed to support viable populations of secondary cavity users may exceed the needs of primary cavity excavators; </w:t>
      </w:r>
    </w:p>
    <w:p w:rsidR="008D4530" w:rsidRDefault="008D4530" w:rsidP="008D4530">
      <w:pPr>
        <w:numPr>
          <w:ilvl w:val="0"/>
          <w:numId w:val="26"/>
        </w:numPr>
        <w:suppressAutoHyphens/>
        <w:spacing w:line="240" w:lineRule="auto"/>
        <w:ind w:left="360"/>
      </w:pPr>
      <w:r>
        <w:t>The old standard failed to account for the size height of snags favored by some species;</w:t>
      </w:r>
    </w:p>
    <w:p w:rsidR="008D4530" w:rsidRDefault="008D4530" w:rsidP="008D4530">
      <w:pPr>
        <w:numPr>
          <w:ilvl w:val="0"/>
          <w:numId w:val="26"/>
        </w:numPr>
        <w:suppressAutoHyphens/>
        <w:spacing w:line="240" w:lineRule="auto"/>
        <w:ind w:left="360"/>
      </w:pPr>
      <w:r>
        <w:lastRenderedPageBreak/>
        <w:t>In applying the old standards the agencies often fail to account for rates of snag fall and recruitment;</w:t>
      </w:r>
    </w:p>
    <w:p w:rsidR="008D4530" w:rsidRDefault="008D4530" w:rsidP="008D4530">
      <w:pPr>
        <w:numPr>
          <w:ilvl w:val="0"/>
          <w:numId w:val="26"/>
        </w:numPr>
        <w:suppressAutoHyphens/>
        <w:spacing w:line="240" w:lineRule="auto"/>
        <w:ind w:left="360"/>
      </w:pPr>
      <w:r>
        <w:t>The old standards fail to recognize non-equilibrium conditions in our forests, i.e. some species rely on the natural large pulses of snags associated with large disturbances;</w:t>
      </w:r>
    </w:p>
    <w:p w:rsidR="008D4530" w:rsidRDefault="008D4530" w:rsidP="008D4530">
      <w:pPr>
        <w:numPr>
          <w:ilvl w:val="0"/>
          <w:numId w:val="26"/>
        </w:numPr>
        <w:suppressAutoHyphens/>
        <w:spacing w:line="240" w:lineRule="auto"/>
        <w:ind w:left="360"/>
      </w:pPr>
      <w:r>
        <w:t>The old standards fail to account for the differential use of space and population density of different species;</w:t>
      </w:r>
    </w:p>
    <w:p w:rsidR="008D4530" w:rsidRDefault="008D4530" w:rsidP="008D4530">
      <w:pPr>
        <w:numPr>
          <w:ilvl w:val="0"/>
          <w:numId w:val="26"/>
        </w:numPr>
        <w:suppressAutoHyphens/>
        <w:spacing w:line="240" w:lineRule="auto"/>
        <w:ind w:left="360"/>
      </w:pPr>
      <w:r>
        <w:t>The old standards ignore other important habitat features of dead wood, e.g. loose bark, hollow trees, broken tops, etc.</w:t>
      </w:r>
    </w:p>
    <w:p w:rsidR="008D4530" w:rsidRDefault="008D4530" w:rsidP="008D4530"/>
    <w:p w:rsidR="008D4530" w:rsidRDefault="008D4530" w:rsidP="008D4530">
      <w:r>
        <w:t>The authors of DecAID describe some of the limitations of the old methods of managing snag habitat.</w:t>
      </w:r>
    </w:p>
    <w:p w:rsidR="008D4530" w:rsidRPr="0034126E" w:rsidRDefault="008D4530" w:rsidP="008D4530">
      <w:pPr>
        <w:pStyle w:val="BodyTextIndent"/>
        <w:rPr>
          <w:rFonts w:ascii="Times New Roman" w:hAnsi="Times New Roman" w:cs="Times New Roman"/>
        </w:rPr>
      </w:pPr>
      <w:r w:rsidRPr="0034126E">
        <w:rPr>
          <w:rFonts w:ascii="Times New Roman" w:hAnsi="Times New Roman" w:cs="Times New Roman"/>
          <w:b/>
        </w:rPr>
        <w:t>Limitations of Existing Approaches for Assessing Wildlife-Dead Wood Relations.</w:t>
      </w:r>
      <w:r w:rsidRPr="0034126E">
        <w:rPr>
          <w:rFonts w:ascii="Times New Roman" w:hAnsi="Times New Roman" w:cs="Times New Roman"/>
        </w:rPr>
        <w:t xml:space="preserve"> </w:t>
      </w:r>
    </w:p>
    <w:p w:rsidR="008D4530" w:rsidRPr="0034126E" w:rsidRDefault="008D4530" w:rsidP="008D4530">
      <w:pPr>
        <w:pStyle w:val="BodyTextIndent"/>
        <w:rPr>
          <w:rFonts w:ascii="Times New Roman" w:hAnsi="Times New Roman" w:cs="Times New Roman"/>
        </w:rPr>
      </w:pPr>
      <w:r w:rsidRPr="0034126E">
        <w:rPr>
          <w:rFonts w:ascii="Times New Roman" w:hAnsi="Times New Roman" w:cs="Times New Roman"/>
        </w:rPr>
        <w:t xml:space="preserve">Models of relationships between wildlife species and snags in the Pacific Northwest typically are based on calculating potential densities of bird species and expected number of snags used per pair. This approach was first used by Thomas et al. (1979). Marcot expanded this approach in Neitro et al. (1985) and in the Snag Recruitment Simulator (Marcot 1992) by using published estimates of bird population densities instead of calculating population densities from pair home range sizes. This approach has been criticized because the numbers of snags suggested by the models seem far lower than are now being observed in field studies (Lundquist and </w:t>
      </w:r>
      <w:proofErr w:type="spellStart"/>
      <w:r w:rsidRPr="0034126E">
        <w:rPr>
          <w:rFonts w:ascii="Times New Roman" w:hAnsi="Times New Roman" w:cs="Times New Roman"/>
        </w:rPr>
        <w:t>Mariani</w:t>
      </w:r>
      <w:proofErr w:type="spellEnd"/>
      <w:r w:rsidRPr="0034126E">
        <w:rPr>
          <w:rFonts w:ascii="Times New Roman" w:hAnsi="Times New Roman" w:cs="Times New Roman"/>
        </w:rPr>
        <w:t xml:space="preserve"> 1991, Bull et al. 1997). In addition, the models provided only deterministic point values of snag sizes or densities and of population response ("population potential") instead of probabilistic estimates that are more amenable to a risk analysis and risk management framework.</w:t>
      </w:r>
    </w:p>
    <w:p w:rsidR="008D4530" w:rsidRPr="0034126E" w:rsidRDefault="008D4530" w:rsidP="008D4530">
      <w:pPr>
        <w:pStyle w:val="BodyTextIndent"/>
        <w:rPr>
          <w:rFonts w:ascii="Times New Roman" w:hAnsi="Times New Roman" w:cs="Times New Roman"/>
        </w:rPr>
      </w:pPr>
      <w:r w:rsidRPr="0034126E">
        <w:rPr>
          <w:rFonts w:ascii="Times New Roman" w:hAnsi="Times New Roman" w:cs="Times New Roman"/>
        </w:rPr>
        <w:t xml:space="preserve"> In addition, existing models have focused on terrestrial vertebrate species that are primary cavity excavators. Thomas et al. (1979) and Marcot (1992) assumed that secondary snag-using species would be fully provided for if needs of primary snag-excavating species were met. However, </w:t>
      </w:r>
      <w:proofErr w:type="spellStart"/>
      <w:r w:rsidRPr="0034126E">
        <w:rPr>
          <w:rFonts w:ascii="Times New Roman" w:hAnsi="Times New Roman" w:cs="Times New Roman"/>
        </w:rPr>
        <w:t>McComb</w:t>
      </w:r>
      <w:proofErr w:type="spellEnd"/>
      <w:r w:rsidRPr="0034126E">
        <w:rPr>
          <w:rFonts w:ascii="Times New Roman" w:hAnsi="Times New Roman" w:cs="Times New Roman"/>
        </w:rPr>
        <w:t xml:space="preserve"> et al. (1992) and Schreiber (1987) suggested that secondary cavity nesting birds may be even more sensitive to snag density than are primary cavity excavators.</w:t>
      </w:r>
    </w:p>
    <w:p w:rsidR="008D4530" w:rsidRPr="0034126E" w:rsidRDefault="008D4530" w:rsidP="008D4530">
      <w:pPr>
        <w:pStyle w:val="BodyTextIndent"/>
        <w:rPr>
          <w:rFonts w:ascii="Times New Roman" w:hAnsi="Times New Roman" w:cs="Times New Roman"/>
        </w:rPr>
      </w:pPr>
      <w:r w:rsidRPr="0034126E">
        <w:rPr>
          <w:rFonts w:ascii="Times New Roman" w:hAnsi="Times New Roman" w:cs="Times New Roman"/>
        </w:rPr>
        <w:t xml:space="preserve"> Furthermore, existing models do not address relationships between wildlife and down wood, nor do they account for species that use different types of snags and partially dead trees, such as hollow live and dead trees used by bats (</w:t>
      </w:r>
      <w:proofErr w:type="spellStart"/>
      <w:r w:rsidRPr="0034126E">
        <w:rPr>
          <w:rFonts w:ascii="Times New Roman" w:hAnsi="Times New Roman" w:cs="Times New Roman"/>
        </w:rPr>
        <w:t>Ormsbee</w:t>
      </w:r>
      <w:proofErr w:type="spellEnd"/>
      <w:r w:rsidRPr="0034126E">
        <w:rPr>
          <w:rFonts w:ascii="Times New Roman" w:hAnsi="Times New Roman" w:cs="Times New Roman"/>
        </w:rPr>
        <w:t xml:space="preserve"> and </w:t>
      </w:r>
      <w:proofErr w:type="spellStart"/>
      <w:r w:rsidRPr="0034126E">
        <w:rPr>
          <w:rFonts w:ascii="Times New Roman" w:hAnsi="Times New Roman" w:cs="Times New Roman"/>
        </w:rPr>
        <w:t>McComb</w:t>
      </w:r>
      <w:proofErr w:type="spellEnd"/>
      <w:r w:rsidRPr="0034126E">
        <w:rPr>
          <w:rFonts w:ascii="Times New Roman" w:hAnsi="Times New Roman" w:cs="Times New Roman"/>
        </w:rPr>
        <w:t xml:space="preserve"> 1998, </w:t>
      </w:r>
      <w:proofErr w:type="spellStart"/>
      <w:r w:rsidRPr="0034126E">
        <w:rPr>
          <w:rFonts w:ascii="Times New Roman" w:hAnsi="Times New Roman" w:cs="Times New Roman"/>
        </w:rPr>
        <w:t>Vonhof</w:t>
      </w:r>
      <w:proofErr w:type="spellEnd"/>
      <w:r w:rsidRPr="0034126E">
        <w:rPr>
          <w:rFonts w:ascii="Times New Roman" w:hAnsi="Times New Roman" w:cs="Times New Roman"/>
        </w:rPr>
        <w:t xml:space="preserve"> and </w:t>
      </w:r>
      <w:proofErr w:type="spellStart"/>
      <w:r w:rsidRPr="0034126E">
        <w:rPr>
          <w:rFonts w:ascii="Times New Roman" w:hAnsi="Times New Roman" w:cs="Times New Roman"/>
        </w:rPr>
        <w:t>Gwilliam</w:t>
      </w:r>
      <w:proofErr w:type="spellEnd"/>
      <w:r w:rsidRPr="0034126E">
        <w:rPr>
          <w:rFonts w:ascii="Times New Roman" w:hAnsi="Times New Roman" w:cs="Times New Roman"/>
        </w:rPr>
        <w:t xml:space="preserve"> 2007), Vaux's swift (</w:t>
      </w:r>
      <w:proofErr w:type="spellStart"/>
      <w:r w:rsidRPr="0034126E">
        <w:rPr>
          <w:rFonts w:ascii="Times New Roman" w:hAnsi="Times New Roman" w:cs="Times New Roman"/>
          <w:i/>
        </w:rPr>
        <w:t>Chaetura</w:t>
      </w:r>
      <w:proofErr w:type="spellEnd"/>
      <w:r w:rsidRPr="0034126E">
        <w:rPr>
          <w:rFonts w:ascii="Times New Roman" w:hAnsi="Times New Roman" w:cs="Times New Roman"/>
          <w:i/>
        </w:rPr>
        <w:t xml:space="preserve"> </w:t>
      </w:r>
      <w:proofErr w:type="spellStart"/>
      <w:r w:rsidRPr="0034126E">
        <w:rPr>
          <w:rFonts w:ascii="Times New Roman" w:hAnsi="Times New Roman" w:cs="Times New Roman"/>
          <w:i/>
        </w:rPr>
        <w:t>vauxi</w:t>
      </w:r>
      <w:proofErr w:type="spellEnd"/>
      <w:r w:rsidRPr="0034126E">
        <w:rPr>
          <w:rFonts w:ascii="Times New Roman" w:hAnsi="Times New Roman" w:cs="Times New Roman"/>
        </w:rPr>
        <w:t xml:space="preserve">) (Bull and </w:t>
      </w:r>
      <w:proofErr w:type="spellStart"/>
      <w:r w:rsidRPr="0034126E">
        <w:rPr>
          <w:rFonts w:ascii="Times New Roman" w:hAnsi="Times New Roman" w:cs="Times New Roman"/>
        </w:rPr>
        <w:t>Hohmann</w:t>
      </w:r>
      <w:proofErr w:type="spellEnd"/>
      <w:r w:rsidRPr="0034126E">
        <w:rPr>
          <w:rFonts w:ascii="Times New Roman" w:hAnsi="Times New Roman" w:cs="Times New Roman"/>
        </w:rPr>
        <w:t xml:space="preserve"> 1993), American marten (</w:t>
      </w:r>
      <w:proofErr w:type="spellStart"/>
      <w:r w:rsidRPr="0034126E">
        <w:rPr>
          <w:rFonts w:ascii="Times New Roman" w:hAnsi="Times New Roman" w:cs="Times New Roman"/>
          <w:i/>
        </w:rPr>
        <w:t>Martes</w:t>
      </w:r>
      <w:proofErr w:type="spellEnd"/>
      <w:r w:rsidRPr="0034126E">
        <w:rPr>
          <w:rFonts w:ascii="Times New Roman" w:hAnsi="Times New Roman" w:cs="Times New Roman"/>
          <w:i/>
        </w:rPr>
        <w:t xml:space="preserve"> </w:t>
      </w:r>
      <w:proofErr w:type="spellStart"/>
      <w:r w:rsidRPr="0034126E">
        <w:rPr>
          <w:rFonts w:ascii="Times New Roman" w:hAnsi="Times New Roman" w:cs="Times New Roman"/>
          <w:i/>
        </w:rPr>
        <w:t>americana</w:t>
      </w:r>
      <w:proofErr w:type="spellEnd"/>
      <w:r w:rsidRPr="0034126E">
        <w:rPr>
          <w:rFonts w:ascii="Times New Roman" w:hAnsi="Times New Roman" w:cs="Times New Roman"/>
        </w:rPr>
        <w:t>) (Bull et al. 2005),</w:t>
      </w:r>
      <w:r>
        <w:rPr>
          <w:rFonts w:ascii="Times New Roman" w:hAnsi="Times New Roman" w:cs="Times New Roman"/>
        </w:rPr>
        <w:t xml:space="preserve"> </w:t>
      </w:r>
      <w:r w:rsidRPr="0034126E">
        <w:rPr>
          <w:rFonts w:ascii="Times New Roman" w:hAnsi="Times New Roman" w:cs="Times New Roman"/>
        </w:rPr>
        <w:t>and fisher (</w:t>
      </w:r>
      <w:proofErr w:type="spellStart"/>
      <w:r w:rsidRPr="0034126E">
        <w:rPr>
          <w:rFonts w:ascii="Times New Roman" w:hAnsi="Times New Roman" w:cs="Times New Roman"/>
          <w:i/>
        </w:rPr>
        <w:t>Martes</w:t>
      </w:r>
      <w:proofErr w:type="spellEnd"/>
      <w:r w:rsidRPr="0034126E">
        <w:rPr>
          <w:rFonts w:ascii="Times New Roman" w:hAnsi="Times New Roman" w:cs="Times New Roman"/>
          <w:i/>
        </w:rPr>
        <w:t xml:space="preserve"> </w:t>
      </w:r>
      <w:proofErr w:type="spellStart"/>
      <w:r w:rsidRPr="0034126E">
        <w:rPr>
          <w:rFonts w:ascii="Times New Roman" w:hAnsi="Times New Roman" w:cs="Times New Roman"/>
          <w:i/>
        </w:rPr>
        <w:t>pennanti</w:t>
      </w:r>
      <w:proofErr w:type="spellEnd"/>
      <w:r w:rsidRPr="0034126E">
        <w:rPr>
          <w:rFonts w:ascii="Times New Roman" w:hAnsi="Times New Roman" w:cs="Times New Roman"/>
        </w:rPr>
        <w:t>) (Zielinski et al. 2004).</w:t>
      </w:r>
    </w:p>
    <w:p w:rsidR="008D4530" w:rsidRPr="0034126E" w:rsidRDefault="008D4530" w:rsidP="008D4530">
      <w:r w:rsidRPr="0034126E">
        <w:t xml:space="preserve">Bruce G. Marcot , Janet L. Ohmann, Kim L. Mellen-McLean, and Karen L. Waddell. Synthesis of Regional Wildlife and Vegetation Field Studies to Guide Management of Standing and Down Dead Trees. Forest Science 56(4) 2010. </w:t>
      </w:r>
      <w:hyperlink r:id="rId104" w:history="1">
        <w:r w:rsidRPr="0034126E">
          <w:rPr>
            <w:rStyle w:val="Hyperlink"/>
          </w:rPr>
          <w:t>http://www.fs.fed.us/pnw/pubs/journals/pnw_2010_marcot002.pdf</w:t>
        </w:r>
      </w:hyperlink>
      <w:r w:rsidRPr="0034126E">
        <w:t xml:space="preserve"> </w:t>
      </w:r>
    </w:p>
    <w:p w:rsidR="008D4530" w:rsidRDefault="008D4530" w:rsidP="008D4530"/>
    <w:p w:rsidR="008D4530" w:rsidRDefault="008D4530" w:rsidP="008D4530">
      <w:pPr>
        <w:pStyle w:val="NormalWeb"/>
        <w:spacing w:before="0" w:after="0"/>
        <w:rPr>
          <w:szCs w:val="20"/>
        </w:rPr>
      </w:pPr>
      <w:r>
        <w:rPr>
          <w:szCs w:val="20"/>
        </w:rPr>
        <w:t xml:space="preserve">The Forest Service has previously recognized serious problems with the LRMP snag standards. </w:t>
      </w:r>
    </w:p>
    <w:p w:rsidR="008D4530" w:rsidRDefault="008D4530" w:rsidP="008D4530">
      <w:pPr>
        <w:pStyle w:val="NormalWeb"/>
        <w:ind w:left="720"/>
        <w:rPr>
          <w:szCs w:val="20"/>
        </w:rPr>
      </w:pPr>
      <w:r>
        <w:rPr>
          <w:szCs w:val="20"/>
        </w:rPr>
        <w:t xml:space="preserve">Bull et al. (1997) states current direction for providing wildlife habitat on public forest lands does not reflect the new information available, which suggests that to fully meet the needs of wildlife, additional snags and habitat are required for foraging, denning, nesting, and roosting.  Rose et al. (2001) also state that several major lessons have been learned in </w:t>
      </w:r>
      <w:r>
        <w:rPr>
          <w:szCs w:val="20"/>
        </w:rPr>
        <w:lastRenderedPageBreak/>
        <w:t>the period 1979 to 1999 that have tested critical assumptions of earlier management advisory models, including some assumptions used to develop current recommendations in the LRMP Standards and Guidelines.  Some assumptions include:</w:t>
      </w:r>
    </w:p>
    <w:p w:rsidR="008D4530" w:rsidRDefault="008D4530" w:rsidP="008D4530">
      <w:pPr>
        <w:pStyle w:val="NormalWeb"/>
        <w:ind w:left="720"/>
        <w:rPr>
          <w:szCs w:val="20"/>
        </w:rPr>
      </w:pPr>
      <w:r>
        <w:rPr>
          <w:szCs w:val="20"/>
        </w:rPr>
        <w:t xml:space="preserve">•  Calculation of numbers of snags required by woodpeckers based on assessing their “biological (population) potential” is a flawed technique (Rose et al., 2001).  Empirical studies are suggesting that snag numbers in areas used and selected by some wildlife species are far higher than those calculated by this technique (Rose et al., 2001). </w:t>
      </w:r>
    </w:p>
    <w:p w:rsidR="008D4530" w:rsidRDefault="008D4530" w:rsidP="008D4530">
      <w:pPr>
        <w:pStyle w:val="NormalWeb"/>
        <w:ind w:left="720"/>
        <w:rPr>
          <w:szCs w:val="20"/>
        </w:rPr>
      </w:pPr>
      <w:r>
        <w:rPr>
          <w:szCs w:val="20"/>
        </w:rPr>
        <w:t xml:space="preserve">•  Numbers and sizes (DBH) of snags used and selected by secondary cavity nesters often exceed those of primary excavators (Rose et al., 2001). </w:t>
      </w:r>
    </w:p>
    <w:p w:rsidR="008D4530" w:rsidRDefault="008D4530" w:rsidP="008D4530">
      <w:pPr>
        <w:pStyle w:val="NormalWeb"/>
        <w:ind w:left="720"/>
      </w:pPr>
      <w:r>
        <w:rPr>
          <w:szCs w:val="20"/>
        </w:rPr>
        <w:t>This suggests the current direction of managing for 100 percent population levels of primary excavators may not represent the most current knowledge of managing for cavity nesters and that these snag levels, under certain conditions, may not be adequate for some species.</w:t>
      </w:r>
    </w:p>
    <w:p w:rsidR="008D4530" w:rsidRDefault="008D4530" w:rsidP="008D4530">
      <w:pPr>
        <w:pStyle w:val="NormalWeb"/>
        <w:spacing w:before="0" w:after="0"/>
        <w:rPr>
          <w:szCs w:val="20"/>
        </w:rPr>
      </w:pPr>
      <w:r>
        <w:rPr>
          <w:szCs w:val="20"/>
        </w:rPr>
        <w:t xml:space="preserve">Barry Point Fire Salvage EA, Fremont-Winema NF: </w:t>
      </w:r>
      <w:hyperlink r:id="rId105" w:history="1">
        <w:r>
          <w:rPr>
            <w:rStyle w:val="Hyperlink"/>
          </w:rPr>
          <w:t>http://a123.g.akamai.net/7/123/11558/abc123/forestservic.download.akamai.com/11558/www/nepa/91686_FSPLT3_1450222.pdf</w:t>
        </w:r>
      </w:hyperlink>
    </w:p>
    <w:p w:rsidR="008D4530" w:rsidRDefault="008D4530" w:rsidP="008D4530">
      <w:pPr>
        <w:pStyle w:val="NormalWeb"/>
        <w:spacing w:before="0" w:after="0"/>
        <w:rPr>
          <w:szCs w:val="20"/>
        </w:rPr>
      </w:pPr>
    </w:p>
    <w:p w:rsidR="008D4530" w:rsidRDefault="008D4530" w:rsidP="008D4530">
      <w:pPr>
        <w:autoSpaceDE w:val="0"/>
        <w:spacing w:after="144"/>
        <w:ind w:left="720"/>
        <w:rPr>
          <w:color w:val="000000"/>
        </w:rPr>
      </w:pPr>
      <w:r>
        <w:rPr>
          <w:color w:val="000000"/>
        </w:rPr>
        <w:t xml:space="preserve">Bull et al. states that the current direction for providing wildlife habitat on public forest lands does not reflect the new information that is available which suggests that to fully meet the needs of wildlife, additional snags and habitat are required for foraging, denning, nesting, and roosting (1997). Johnson and O’Neil (2001) and Rose et al. (2001) also state that several major lessons have been learned in the period 1979 to 1999 that have tested critical assumptions of earlier management advisory models (2001), including some of the assumptions used to develop the current recommendations in the LRMP Standards and Guidelines, as amended by the Regional Forester’s Amendment #2. Some assumptions include: </w:t>
      </w:r>
    </w:p>
    <w:p w:rsidR="008D4530" w:rsidRDefault="008D4530" w:rsidP="008D4530">
      <w:pPr>
        <w:autoSpaceDE w:val="0"/>
        <w:spacing w:after="144"/>
        <w:ind w:left="1440"/>
        <w:rPr>
          <w:color w:val="000000"/>
        </w:rPr>
      </w:pPr>
      <w:r>
        <w:rPr>
          <w:color w:val="000000"/>
        </w:rPr>
        <w:t xml:space="preserve">• calculation of numbers of snags required by woodpeckers based on assessing their “biological (population) potential” is a flawed technique (Johnson and O’Neil 2001). Empirical studies are suggesting that snag numbers in areas used and selected by some wildlife species are far higher than those calculated by this technique (Johnson and O’Neil 2001). </w:t>
      </w:r>
    </w:p>
    <w:p w:rsidR="008D4530" w:rsidRDefault="008D4530" w:rsidP="008D4530">
      <w:pPr>
        <w:autoSpaceDE w:val="0"/>
        <w:spacing w:after="144"/>
        <w:ind w:left="1440"/>
        <w:rPr>
          <w:color w:val="000000"/>
        </w:rPr>
      </w:pPr>
      <w:r>
        <w:rPr>
          <w:color w:val="000000"/>
        </w:rPr>
        <w:t xml:space="preserve">• numbers and sizes (dbh) of snags used and selected by secondary cavity nesters often exceed those of primary excavators (Johnson and O’Neil 2001). </w:t>
      </w:r>
    </w:p>
    <w:p w:rsidR="008D4530" w:rsidRDefault="008D4530" w:rsidP="008D4530">
      <w:pPr>
        <w:autoSpaceDE w:val="0"/>
        <w:spacing w:after="144"/>
        <w:ind w:left="720"/>
      </w:pPr>
      <w:r>
        <w:rPr>
          <w:color w:val="000000"/>
        </w:rPr>
        <w:t xml:space="preserve">This suggests the current direction of managing for 100 percent population potential levels of primary excavators may not represent the most meaningful measure of managing for cavity-nesters and that these snag levels, under certain conditions, may not be adequate for some species. </w:t>
      </w:r>
    </w:p>
    <w:p w:rsidR="008D4530" w:rsidRDefault="008D4530" w:rsidP="008D4530">
      <w:r>
        <w:t xml:space="preserve">Fremont-Winema NF. Barnes Valley-Long Branch Restoration and Enhancement Project EA Appendix B – DecAID Information. </w:t>
      </w:r>
      <w:hyperlink r:id="rId106" w:history="1">
        <w:r>
          <w:rPr>
            <w:rStyle w:val="Hyperlink"/>
          </w:rPr>
          <w:t>http://www.fs.fed.us/r6/frewin/projects/analyses/barneslong/ea/appb.pdf</w:t>
        </w:r>
      </w:hyperlink>
      <w:r>
        <w:t xml:space="preserve"> (Broken 8/10/2012).</w:t>
      </w:r>
    </w:p>
    <w:p w:rsidR="008D4530" w:rsidRDefault="00347CB8" w:rsidP="008D4530">
      <w:hyperlink r:id="rId107" w:history="1">
        <w:r w:rsidR="008D4530">
          <w:rPr>
            <w:rStyle w:val="Hyperlink"/>
          </w:rPr>
          <w:t>http://www.fs.fed.us/outernet/r6/winema/management/analyses/barneslong/prelimea.pdf</w:t>
        </w:r>
      </w:hyperlink>
      <w:r w:rsidR="008D4530">
        <w:t>.</w:t>
      </w:r>
    </w:p>
    <w:p w:rsidR="008D4530" w:rsidRDefault="008D4530" w:rsidP="008D4530">
      <w:pPr>
        <w:pStyle w:val="NormalWeb"/>
        <w:spacing w:before="0" w:after="0"/>
        <w:rPr>
          <w:szCs w:val="20"/>
        </w:rPr>
      </w:pPr>
    </w:p>
    <w:p w:rsidR="008D4530" w:rsidRDefault="008D4530" w:rsidP="008D4530">
      <w:r>
        <w:t>The Forest Service recognizes that</w:t>
      </w:r>
    </w:p>
    <w:p w:rsidR="008D4530" w:rsidRDefault="008D4530" w:rsidP="008D4530">
      <w:pPr>
        <w:ind w:left="720"/>
      </w:pPr>
      <w:r>
        <w:t>Forest Plan standards were based on a model that did not account for snags required for foraging (EA p. 68 and Appendix K p. 45). There is general consensus in the scientific and professional community that using the biological potential model (which was used in developing the Forest Plan standard) is flawed and does not provide adequate nesting, roosting, or foraging structure for cavity excavating birds …</w:t>
      </w:r>
    </w:p>
    <w:p w:rsidR="008D4530" w:rsidRDefault="008D4530" w:rsidP="008D4530">
      <w:r>
        <w:t xml:space="preserve">North Fork John Day RD, Umatilla NF. 2011. Mirage Vegetation Management Project DN. </w:t>
      </w:r>
      <w:hyperlink r:id="rId108" w:history="1">
        <w:r>
          <w:rPr>
            <w:rStyle w:val="Hyperlink"/>
          </w:rPr>
          <w:t>http://a123.g.akamai.net/7/123/11558/abc123/forestservic.download.akamai.com/11558/www/nepa/53012_FSPLT2_055455.pdf</w:t>
        </w:r>
      </w:hyperlink>
      <w:r>
        <w:t>.</w:t>
      </w:r>
    </w:p>
    <w:p w:rsidR="008D4530" w:rsidRDefault="008D4530" w:rsidP="008D4530"/>
    <w:p w:rsidR="008D4530" w:rsidRPr="0034126E" w:rsidRDefault="008D4530" w:rsidP="008D4530">
      <w:r>
        <w:t>Rose et al (2001) explain -</w:t>
      </w:r>
    </w:p>
    <w:p w:rsidR="008D4530" w:rsidRPr="0034126E" w:rsidRDefault="008D4530" w:rsidP="008D4530">
      <w:pPr>
        <w:autoSpaceDE w:val="0"/>
        <w:ind w:left="720"/>
      </w:pPr>
      <w:r w:rsidRPr="0034126E">
        <w:rPr>
          <w:b/>
        </w:rPr>
        <w:t>Lessons Learned During the Last Fifteen Years</w:t>
      </w:r>
    </w:p>
    <w:p w:rsidR="008D4530" w:rsidRPr="0034126E" w:rsidRDefault="008D4530" w:rsidP="008D4530">
      <w:pPr>
        <w:autoSpaceDE w:val="0"/>
        <w:ind w:left="720"/>
        <w:rPr>
          <w:color w:val="292526"/>
        </w:rPr>
      </w:pPr>
      <w:r w:rsidRPr="0034126E">
        <w:t>…</w:t>
      </w:r>
    </w:p>
    <w:p w:rsidR="008D4530" w:rsidRPr="0034126E" w:rsidRDefault="008D4530" w:rsidP="008D4530">
      <w:pPr>
        <w:autoSpaceDE w:val="0"/>
        <w:ind w:left="720"/>
        <w:rPr>
          <w:b/>
          <w:bCs/>
          <w:color w:val="292526"/>
        </w:rPr>
      </w:pPr>
      <w:r w:rsidRPr="0034126E">
        <w:rPr>
          <w:color w:val="292526"/>
        </w:rPr>
        <w:t>Several major lessons have been learned in the period 1979-1999 that have tested critical assumptions of these earlier management advisory models:</w:t>
      </w:r>
    </w:p>
    <w:p w:rsidR="008D4530" w:rsidRPr="0034126E" w:rsidRDefault="008D4530" w:rsidP="008D4530">
      <w:pPr>
        <w:numPr>
          <w:ilvl w:val="0"/>
          <w:numId w:val="27"/>
        </w:numPr>
        <w:suppressAutoHyphens/>
        <w:autoSpaceDE w:val="0"/>
        <w:spacing w:line="240" w:lineRule="auto"/>
        <w:rPr>
          <w:b/>
          <w:bCs/>
          <w:color w:val="292526"/>
        </w:rPr>
      </w:pPr>
      <w:r w:rsidRPr="0034126E">
        <w:rPr>
          <w:color w:val="292526"/>
        </w:rPr>
        <w:t>Calculations of numbers of snags required by woodpeckers based on assessing their ‘biological potential’ (that is, summing numbers of snags used per pair, accounting for unused snags, and extrapolating snag numbers based on population density) is a flawed technique. Empirical studies are suggesting that snag numbers in areas used and selected by some wildlife species are far higher than those calculated by this technique.</w:t>
      </w:r>
      <w:r w:rsidRPr="0034126E">
        <w:rPr>
          <w:color w:val="292526"/>
          <w:vertAlign w:val="superscript"/>
        </w:rPr>
        <w:t>226</w:t>
      </w:r>
      <w:r w:rsidRPr="0034126E">
        <w:rPr>
          <w:color w:val="292526"/>
        </w:rPr>
        <w:t xml:space="preserve"> </w:t>
      </w:r>
    </w:p>
    <w:p w:rsidR="008D4530" w:rsidRPr="0034126E" w:rsidRDefault="008D4530" w:rsidP="008D4530">
      <w:pPr>
        <w:numPr>
          <w:ilvl w:val="0"/>
          <w:numId w:val="27"/>
        </w:numPr>
        <w:suppressAutoHyphens/>
        <w:autoSpaceDE w:val="0"/>
        <w:spacing w:line="240" w:lineRule="auto"/>
        <w:rPr>
          <w:b/>
          <w:bCs/>
          <w:color w:val="292526"/>
        </w:rPr>
      </w:pPr>
      <w:r w:rsidRPr="0034126E">
        <w:rPr>
          <w:color w:val="292526"/>
        </w:rPr>
        <w:t>Setting a goal of 40% of habitat capability for primary excavators, mainly woodpeckers,</w:t>
      </w:r>
      <w:r w:rsidRPr="0034126E">
        <w:rPr>
          <w:color w:val="292526"/>
          <w:vertAlign w:val="superscript"/>
        </w:rPr>
        <w:t>369</w:t>
      </w:r>
      <w:r w:rsidRPr="0034126E">
        <w:rPr>
          <w:color w:val="292526"/>
        </w:rPr>
        <w:t xml:space="preserve"> is likely to be insufficient for maintaining viable populations.</w:t>
      </w:r>
    </w:p>
    <w:p w:rsidR="008D4530" w:rsidRPr="0034126E" w:rsidRDefault="008D4530" w:rsidP="008D4530">
      <w:pPr>
        <w:numPr>
          <w:ilvl w:val="0"/>
          <w:numId w:val="27"/>
        </w:numPr>
        <w:suppressAutoHyphens/>
        <w:autoSpaceDE w:val="0"/>
        <w:spacing w:line="240" w:lineRule="auto"/>
        <w:rPr>
          <w:b/>
          <w:bCs/>
          <w:color w:val="292526"/>
        </w:rPr>
      </w:pPr>
      <w:r w:rsidRPr="0034126E">
        <w:rPr>
          <w:color w:val="292526"/>
        </w:rPr>
        <w:t>Numbers and sizes (dbh) of snags used and selected by secondary cavity-nesters often exceed those of primary cavity excavators.</w:t>
      </w:r>
    </w:p>
    <w:p w:rsidR="008D4530" w:rsidRPr="0034126E" w:rsidRDefault="008D4530" w:rsidP="008D4530">
      <w:pPr>
        <w:numPr>
          <w:ilvl w:val="0"/>
          <w:numId w:val="27"/>
        </w:numPr>
        <w:suppressAutoHyphens/>
        <w:autoSpaceDE w:val="0"/>
        <w:spacing w:line="240" w:lineRule="auto"/>
        <w:rPr>
          <w:b/>
          <w:bCs/>
          <w:color w:val="292526"/>
        </w:rPr>
      </w:pPr>
      <w:r w:rsidRPr="0034126E">
        <w:rPr>
          <w:color w:val="292526"/>
        </w:rPr>
        <w:t>Clumping of snags and down wood may be a natural pattern, and clumps may be selected by some species, so that providing only even distributions may be insufficient to meet all species needs.</w:t>
      </w:r>
    </w:p>
    <w:p w:rsidR="008D4530" w:rsidRPr="0034126E" w:rsidRDefault="008D4530" w:rsidP="008D4530">
      <w:pPr>
        <w:numPr>
          <w:ilvl w:val="0"/>
          <w:numId w:val="27"/>
        </w:numPr>
        <w:suppressAutoHyphens/>
        <w:autoSpaceDE w:val="0"/>
        <w:spacing w:line="240" w:lineRule="auto"/>
        <w:rPr>
          <w:b/>
          <w:bCs/>
          <w:color w:val="292526"/>
        </w:rPr>
      </w:pPr>
      <w:r w:rsidRPr="0034126E">
        <w:rPr>
          <w:color w:val="292526"/>
        </w:rPr>
        <w:t>Other forms of decaying wood, including hollow trees, natural tree cavities, peeling bark, and dead parts of live trees, as well as fungi and mistletoe associated with wood decay, all provide resources for wildlife, and should be considered along with snags and down wood in management guidelines.</w:t>
      </w:r>
    </w:p>
    <w:p w:rsidR="008D4530" w:rsidRPr="0034126E" w:rsidRDefault="008D4530" w:rsidP="008D4530">
      <w:pPr>
        <w:numPr>
          <w:ilvl w:val="0"/>
          <w:numId w:val="27"/>
        </w:numPr>
        <w:suppressAutoHyphens/>
        <w:autoSpaceDE w:val="0"/>
        <w:spacing w:line="240" w:lineRule="auto"/>
      </w:pPr>
      <w:r w:rsidRPr="0034126E">
        <w:rPr>
          <w:color w:val="292526"/>
        </w:rPr>
        <w:t xml:space="preserve">The ecological roles played by wildlife associated with decaying wood extend well beyond those structures per se, and can be significant factors influencing community diversity and ecosystem processes. </w:t>
      </w:r>
    </w:p>
    <w:p w:rsidR="008D4530" w:rsidRPr="0034126E" w:rsidRDefault="008D4530" w:rsidP="008D4530">
      <w:r w:rsidRPr="0034126E">
        <w:t xml:space="preserve">Rose, C.L., Marcot, B.G., Mellen, T.K., Ohmann, J.L., Waddell, K.L., Lindely, D.L., and B. Schrieber. 2001. Decaying Wood in Pacific Northwest Forests: Concepts and Tools for Habitat Management, Chapter 24 </w:t>
      </w:r>
      <w:r w:rsidRPr="0034126E">
        <w:rPr>
          <w:i/>
        </w:rPr>
        <w:t>in</w:t>
      </w:r>
      <w:r w:rsidRPr="0034126E">
        <w:t xml:space="preserve"> </w:t>
      </w:r>
      <w:r w:rsidRPr="0034126E">
        <w:rPr>
          <w:b/>
          <w:bCs/>
          <w:i/>
          <w:iCs/>
        </w:rPr>
        <w:t>Wildlife-Habitat Relationships in Oregon and Washington</w:t>
      </w:r>
      <w:r w:rsidRPr="0034126E">
        <w:t xml:space="preserve"> (Johnson, D. H. and T. A. O'Neil. OSU Press. 2001) </w:t>
      </w:r>
      <w:hyperlink r:id="rId109" w:history="1">
        <w:r w:rsidRPr="0034126E">
          <w:rPr>
            <w:rStyle w:val="Hyperlink"/>
          </w:rPr>
          <w:t>http://web.archive.org/web/20060708035905/http://www.nwhi.org/inc/data/GISdata/docs/chapter24.pdf</w:t>
        </w:r>
      </w:hyperlink>
      <w:r w:rsidRPr="0034126E">
        <w:t xml:space="preserve"> </w:t>
      </w:r>
    </w:p>
    <w:p w:rsidR="008D4530" w:rsidRPr="0034126E" w:rsidRDefault="008D4530" w:rsidP="008D4530"/>
    <w:p w:rsidR="008D4530" w:rsidRDefault="008D4530" w:rsidP="008D4530">
      <w:r w:rsidRPr="0034126E">
        <w:t>The potential population models are based on the number of trees needed for nesting cavity-excavator birds, however, “[t]he high value of large, thick-barked snags in severely burned forests has as much to do with feeding opportunities as it does with nesting opportunities they provide birds.” (</w:t>
      </w:r>
      <w:proofErr w:type="spellStart"/>
      <w:r w:rsidRPr="0034126E">
        <w:t>Hutto</w:t>
      </w:r>
      <w:proofErr w:type="spellEnd"/>
      <w:r w:rsidRPr="0034126E">
        <w:t xml:space="preserve">. </w:t>
      </w:r>
      <w:proofErr w:type="spellStart"/>
      <w:r w:rsidRPr="0034126E">
        <w:t>ConBio</w:t>
      </w:r>
      <w:proofErr w:type="spellEnd"/>
      <w:r w:rsidRPr="0034126E">
        <w:t xml:space="preserve"> 20(4). 2006. </w:t>
      </w:r>
      <w:hyperlink r:id="rId110" w:history="1">
        <w:r w:rsidRPr="0034126E">
          <w:rPr>
            <w:rStyle w:val="Hyperlink"/>
          </w:rPr>
          <w:t>http://web.archive.org/web/20060904175645/http://avianscience.dbs.umt.edu/documents/hutto_conbio_2006.pdf</w:t>
        </w:r>
      </w:hyperlink>
      <w:r w:rsidRPr="0034126E">
        <w:t>. The number of snags needed to support bird feeding, escape from predators, and other life functions, is different than, and likely higher than, the number of snags needed to support nesting, so the agencies’ existing “potential population” snag standards are arbitrary and capricious.</w:t>
      </w:r>
    </w:p>
    <w:p w:rsidR="008D4530" w:rsidRDefault="008D4530" w:rsidP="008D4530"/>
    <w:p w:rsidR="008D4530" w:rsidRDefault="008D4530" w:rsidP="008D4530">
      <w:r>
        <w:t xml:space="preserve">New science indicates that meeting the needs of cavity excavators requires retaining far more snags than managers realize. </w:t>
      </w:r>
    </w:p>
    <w:p w:rsidR="008D4530" w:rsidRDefault="008D4530" w:rsidP="008D4530">
      <w:pPr>
        <w:ind w:left="720"/>
      </w:pPr>
      <w:r>
        <w:t xml:space="preserve">… </w:t>
      </w:r>
      <w:r w:rsidRPr="002A39E9">
        <w:t>at-risk species, namely the</w:t>
      </w:r>
      <w:r>
        <w:t xml:space="preserve"> </w:t>
      </w:r>
      <w:r w:rsidRPr="002A39E9">
        <w:t>black-backed and the white-headed woodpeckers,</w:t>
      </w:r>
      <w:r>
        <w:t xml:space="preserve"> </w:t>
      </w:r>
      <w:r w:rsidRPr="002A39E9">
        <w:t>were nesting within burns that contained</w:t>
      </w:r>
      <w:r>
        <w:t xml:space="preserve"> </w:t>
      </w:r>
      <w:r w:rsidRPr="002A39E9">
        <w:t>86 to 96 percent of trees with unsuitably hard</w:t>
      </w:r>
      <w:r>
        <w:t xml:space="preserve"> </w:t>
      </w:r>
      <w:r w:rsidRPr="002A39E9">
        <w:t>wood. This suggests that past studies that did</w:t>
      </w:r>
      <w:r>
        <w:t xml:space="preserve"> </w:t>
      </w:r>
      <w:r w:rsidRPr="002A39E9">
        <w:t>not measure wood hardness counted many</w:t>
      </w:r>
      <w:r>
        <w:t xml:space="preserve"> </w:t>
      </w:r>
      <w:r w:rsidRPr="002A39E9">
        <w:t>sites as available to cavity-excavating birds</w:t>
      </w:r>
      <w:r>
        <w:t xml:space="preserve"> </w:t>
      </w:r>
      <w:r w:rsidRPr="002A39E9">
        <w:t>when actually they were unsuitable. “By not</w:t>
      </w:r>
      <w:r>
        <w:t xml:space="preserve"> </w:t>
      </w:r>
      <w:r w:rsidRPr="002A39E9">
        <w:t>accounting for wood hardness, managers may</w:t>
      </w:r>
      <w:r>
        <w:t xml:space="preserve"> </w:t>
      </w:r>
      <w:r w:rsidRPr="002A39E9">
        <w:t>be overestimating the amount of suitable habitat</w:t>
      </w:r>
      <w:r>
        <w:t xml:space="preserve"> </w:t>
      </w:r>
      <w:r w:rsidRPr="002A39E9">
        <w:t>for cavity-excavating bird species, some of</w:t>
      </w:r>
      <w:r>
        <w:t xml:space="preserve"> </w:t>
      </w:r>
      <w:r w:rsidRPr="002A39E9">
        <w:t>which are at risk,” Lorenz says.</w:t>
      </w:r>
    </w:p>
    <w:p w:rsidR="008D4530" w:rsidRPr="002A39E9" w:rsidRDefault="008D4530" w:rsidP="008D4530">
      <w:pPr>
        <w:ind w:left="720"/>
      </w:pPr>
      <w:r>
        <w:t xml:space="preserve">   </w:t>
      </w:r>
      <w:r w:rsidRPr="002A39E9">
        <w:t>In their study plots, the researchers did</w:t>
      </w:r>
      <w:r>
        <w:t xml:space="preserve"> </w:t>
      </w:r>
      <w:r w:rsidRPr="002A39E9">
        <w:t>not find reliable visual cues to distinguish</w:t>
      </w:r>
    </w:p>
    <w:p w:rsidR="008D4530" w:rsidRPr="002A39E9" w:rsidRDefault="008D4530" w:rsidP="008D4530">
      <w:pPr>
        <w:ind w:left="720"/>
      </w:pPr>
      <w:r w:rsidRPr="002A39E9">
        <w:t>between suitable and unsuitable trees. Snag</w:t>
      </w:r>
      <w:r>
        <w:t xml:space="preserve"> </w:t>
      </w:r>
      <w:r w:rsidRPr="002A39E9">
        <w:t>decay class was a poor indicator of internal</w:t>
      </w:r>
      <w:r>
        <w:t xml:space="preserve"> </w:t>
      </w:r>
      <w:r w:rsidRPr="002A39E9">
        <w:t>wood properties—and this was not the first</w:t>
      </w:r>
      <w:r>
        <w:t xml:space="preserve"> </w:t>
      </w:r>
      <w:r w:rsidRPr="002A39E9">
        <w:t>study to demonstrate that fact, although it was</w:t>
      </w:r>
      <w:r>
        <w:t xml:space="preserve"> </w:t>
      </w:r>
      <w:r w:rsidRPr="002A39E9">
        <w:t>the first study to do so in ornithology (past</w:t>
      </w:r>
      <w:r>
        <w:t xml:space="preserve"> </w:t>
      </w:r>
      <w:r w:rsidRPr="002A39E9">
        <w:t>studies had been done by foresters and published</w:t>
      </w:r>
      <w:r>
        <w:t xml:space="preserve"> </w:t>
      </w:r>
      <w:r w:rsidRPr="002A39E9">
        <w:t>in forestry journals).</w:t>
      </w:r>
    </w:p>
    <w:p w:rsidR="008D4530" w:rsidRPr="002A39E9" w:rsidRDefault="008D4530" w:rsidP="008D4530">
      <w:pPr>
        <w:ind w:left="720"/>
      </w:pPr>
      <w:r>
        <w:t xml:space="preserve">   </w:t>
      </w:r>
      <w:r w:rsidRPr="002A39E9">
        <w:t>“Currently, the best solution we can recommend</w:t>
      </w:r>
      <w:r>
        <w:t xml:space="preserve"> </w:t>
      </w:r>
      <w:r w:rsidRPr="002A39E9">
        <w:t>is to provide large numbers of snags for</w:t>
      </w:r>
      <w:r>
        <w:t xml:space="preserve"> </w:t>
      </w:r>
      <w:r w:rsidRPr="002A39E9">
        <w:t>the birds, which can be difficult without fire,”</w:t>
      </w:r>
      <w:r>
        <w:t xml:space="preserve"> </w:t>
      </w:r>
      <w:r w:rsidRPr="002A39E9">
        <w:t>Lorenz says. According to the researchers’</w:t>
      </w:r>
      <w:r>
        <w:t xml:space="preserve"> </w:t>
      </w:r>
      <w:r w:rsidRPr="002A39E9">
        <w:t>calculations, if one of every 20 snags (approximately</w:t>
      </w:r>
      <w:r>
        <w:t xml:space="preserve"> </w:t>
      </w:r>
      <w:r w:rsidRPr="002A39E9">
        <w:t>4 percent) has suitable wood, and</w:t>
      </w:r>
      <w:r>
        <w:t xml:space="preserve"> </w:t>
      </w:r>
      <w:r w:rsidRPr="002A39E9">
        <w:t>there are five to seven species of woodpeckers</w:t>
      </w:r>
    </w:p>
    <w:p w:rsidR="008D4530" w:rsidRPr="002A39E9" w:rsidRDefault="008D4530" w:rsidP="008D4530">
      <w:pPr>
        <w:ind w:left="720"/>
      </w:pPr>
      <w:r w:rsidRPr="002A39E9">
        <w:t>nesting in a given patch, approximately 100</w:t>
      </w:r>
      <w:r>
        <w:t xml:space="preserve"> </w:t>
      </w:r>
      <w:r w:rsidRPr="002A39E9">
        <w:t>snags may be needed each year for nesting</w:t>
      </w:r>
      <w:r>
        <w:t xml:space="preserve"> </w:t>
      </w:r>
      <w:r w:rsidRPr="002A39E9">
        <w:t>sites alone. This does not account for other</w:t>
      </w:r>
      <w:r>
        <w:t xml:space="preserve"> </w:t>
      </w:r>
      <w:r w:rsidRPr="002A39E9">
        <w:t>nuances, like the fact that most species are</w:t>
      </w:r>
      <w:r>
        <w:t xml:space="preserve"> </w:t>
      </w:r>
      <w:r w:rsidRPr="002A39E9">
        <w:t>territorial and will not tolerate close neighbors</w:t>
      </w:r>
      <w:r>
        <w:t xml:space="preserve"> </w:t>
      </w:r>
      <w:r w:rsidRPr="002A39E9">
        <w:t>while nesting, or the fact that species like the</w:t>
      </w:r>
      <w:r>
        <w:t xml:space="preserve"> </w:t>
      </w:r>
      <w:r w:rsidRPr="002A39E9">
        <w:t>black-backed woodpecker need more foraging</w:t>
      </w:r>
    </w:p>
    <w:p w:rsidR="008D4530" w:rsidRPr="0034126E" w:rsidRDefault="008D4530" w:rsidP="008D4530">
      <w:pPr>
        <w:ind w:left="720"/>
      </w:pPr>
      <w:r w:rsidRPr="002A39E9">
        <w:t>options. Overall, more snags are needed than</w:t>
      </w:r>
      <w:r>
        <w:t xml:space="preserve"> </w:t>
      </w:r>
      <w:r w:rsidRPr="002A39E9">
        <w:t>other studies have previously recommended.</w:t>
      </w:r>
    </w:p>
    <w:p w:rsidR="008D4530" w:rsidRDefault="008D4530" w:rsidP="008D4530">
      <w:proofErr w:type="spellStart"/>
      <w:r w:rsidRPr="002A39E9">
        <w:t>Vizcarra</w:t>
      </w:r>
      <w:proofErr w:type="spellEnd"/>
      <w:r>
        <w:t>,</w:t>
      </w:r>
      <w:r w:rsidRPr="002A39E9">
        <w:t xml:space="preserve"> Natasha </w:t>
      </w:r>
      <w:r>
        <w:t xml:space="preserve">2017. </w:t>
      </w:r>
      <w:r w:rsidRPr="002A39E9">
        <w:t>Woodpecker Woes: The Right Tree Can Be Hard to Find</w:t>
      </w:r>
      <w:r>
        <w:t xml:space="preserve">. PNW Science Findings, Issue 199, August 2017.  </w:t>
      </w:r>
      <w:hyperlink r:id="rId111" w:history="1">
        <w:r w:rsidRPr="009A213C">
          <w:rPr>
            <w:rStyle w:val="Hyperlink"/>
          </w:rPr>
          <w:t>https://www.fs.fed.us/pnw/sciencef/scifi199.pdf</w:t>
        </w:r>
      </w:hyperlink>
      <w:r>
        <w:t xml:space="preserve">. </w:t>
      </w:r>
      <w:r w:rsidRPr="00C340D0">
        <w:rPr>
          <w:i/>
        </w:rPr>
        <w:t>citing</w:t>
      </w:r>
      <w:r>
        <w:t xml:space="preserve"> </w:t>
      </w:r>
      <w:r w:rsidRPr="00C340D0">
        <w:t xml:space="preserve">Lorenz, T.J.; </w:t>
      </w:r>
      <w:proofErr w:type="spellStart"/>
      <w:r w:rsidRPr="00C340D0">
        <w:t>Vierling</w:t>
      </w:r>
      <w:proofErr w:type="spellEnd"/>
      <w:r w:rsidRPr="00C340D0">
        <w:t>, K.T.; Johnson, T.R.;</w:t>
      </w:r>
      <w:r>
        <w:t xml:space="preserve"> </w:t>
      </w:r>
      <w:r w:rsidRPr="00C340D0">
        <w:t>Fischer, P.C. 2015. The role of wood hardness</w:t>
      </w:r>
      <w:r>
        <w:t xml:space="preserve"> </w:t>
      </w:r>
      <w:r w:rsidRPr="00C340D0">
        <w:t>in limiting nest site selection in avian</w:t>
      </w:r>
      <w:r>
        <w:t xml:space="preserve"> </w:t>
      </w:r>
      <w:r w:rsidRPr="00C340D0">
        <w:t>cavity excavators. Ecological Applications.</w:t>
      </w:r>
      <w:r>
        <w:t xml:space="preserve"> </w:t>
      </w:r>
      <w:r w:rsidRPr="00C340D0">
        <w:t xml:space="preserve">25: 1 016–1033. </w:t>
      </w:r>
      <w:hyperlink r:id="rId112" w:history="1">
        <w:r w:rsidRPr="009A213C">
          <w:rPr>
            <w:rStyle w:val="Hyperlink"/>
          </w:rPr>
          <w:t>https://www.treesearch.fs.fed.us/pubs/49102</w:t>
        </w:r>
      </w:hyperlink>
      <w:r w:rsidRPr="00C340D0">
        <w:t>.</w:t>
      </w:r>
    </w:p>
    <w:p w:rsidR="008D4530" w:rsidRPr="0034126E" w:rsidRDefault="008D4530" w:rsidP="008D4530"/>
    <w:p w:rsidR="008D4530" w:rsidRPr="0034126E" w:rsidRDefault="008D4530" w:rsidP="008D4530">
      <w:r w:rsidRPr="0034126E">
        <w:lastRenderedPageBreak/>
        <w:t xml:space="preserve">There is evidence that retaining more than the minimum number of snags has significant benefits for cavity dependent species. Comparing two sites in Northern California, Blacks Mountain Experimental Forest (BMEF) with little past logging and lots of snags, and </w:t>
      </w:r>
      <w:proofErr w:type="spellStart"/>
      <w:r w:rsidRPr="0034126E">
        <w:t>Goosenest</w:t>
      </w:r>
      <w:proofErr w:type="spellEnd"/>
      <w:r w:rsidRPr="0034126E">
        <w:t xml:space="preserve"> Adaptive Management Area (GAMA) with lots of logging and fewer snags, the author’s found “… three times as many snags (6.38/acre vs. 2.04/acre, respectively) … The use of snags by cavity-nesting bird species was dramatically different between the sites. Thirty-one cavity-nesting pairs from 10 species were detected at BMEF, while only one pair each of two species were detected at GAMA</w:t>
      </w:r>
      <w:r w:rsidRPr="0034126E">
        <w:rPr>
          <w:i/>
          <w:iCs/>
        </w:rPr>
        <w:t>….</w:t>
      </w:r>
      <w:r w:rsidRPr="0034126E">
        <w:t xml:space="preserve"> This </w:t>
      </w:r>
      <w:proofErr w:type="spellStart"/>
      <w:r w:rsidRPr="0034126E">
        <w:t>fifteenfold</w:t>
      </w:r>
      <w:proofErr w:type="spellEnd"/>
      <w:r w:rsidRPr="0034126E">
        <w:t xml:space="preserve"> difference is much greater than any measure of snags or cavities reported. …”</w:t>
      </w:r>
    </w:p>
    <w:p w:rsidR="008D4530" w:rsidRPr="0034126E" w:rsidRDefault="008D4530" w:rsidP="008D4530">
      <w:pPr>
        <w:ind w:left="720"/>
      </w:pPr>
      <w:r w:rsidRPr="0034126E">
        <w:t>We feel that forest managers may well be asking a misleading question. “Snags per acre” requirements implicitly assume an equilibrium condition and reflect only one ecological requirement for a given cavity-nesting species. … [C]</w:t>
      </w:r>
      <w:proofErr w:type="spellStart"/>
      <w:r w:rsidRPr="0034126E">
        <w:t>onsideration</w:t>
      </w:r>
      <w:proofErr w:type="spellEnd"/>
      <w:r w:rsidRPr="0034126E">
        <w:t xml:space="preserve"> of foraging habitat and other ecological requirements must be part of the “snags per acre” management considerations. This is an important, but somewhat daunting proposition, as potential cavity-nesting species are diverse, and each species likely has very different foraging ecologies, as well as other differences in habitat requirements. … [C]</w:t>
      </w:r>
      <w:proofErr w:type="spellStart"/>
      <w:r w:rsidRPr="0034126E">
        <w:t>avity</w:t>
      </w:r>
      <w:proofErr w:type="spellEnd"/>
      <w:r w:rsidRPr="0034126E">
        <w:t xml:space="preserve"> nesters at BMEF used larger snags on average … [T]he loss of large trees due to logging in eastside pine and other forests, over the past century has major implications for cavity-nesting birds. … [F]</w:t>
      </w:r>
      <w:proofErr w:type="spellStart"/>
      <w:r w:rsidRPr="0034126E">
        <w:t>orest</w:t>
      </w:r>
      <w:proofErr w:type="spellEnd"/>
      <w:r w:rsidRPr="0034126E">
        <w:t xml:space="preserve"> managers must have a sense of snag recruitment in relationship to snag fall, and the patterns and processes that underlie them, when addressing wildlife needs. … We view the understanding of these complexities to be of primary importance in forest management for wildlife.</w:t>
      </w:r>
    </w:p>
    <w:p w:rsidR="008D4530" w:rsidRPr="0034126E" w:rsidRDefault="008D4530" w:rsidP="008D4530">
      <w:r w:rsidRPr="0034126E">
        <w:t xml:space="preserve">Steve Zack, T. Luke George, and William F. </w:t>
      </w:r>
      <w:proofErr w:type="spellStart"/>
      <w:r w:rsidRPr="0034126E">
        <w:t>Laudenslayer</w:t>
      </w:r>
      <w:proofErr w:type="spellEnd"/>
      <w:r w:rsidRPr="0034126E">
        <w:t xml:space="preserve">, Jr. 2002. Are There Snags in the System? Comparing Cavity Use among Nesting Birds in “Snag-rich” and “Snag-poor” Eastside Pine Forests. USDA Forest Service Gen. Tech. Rep. PSW-GTR-181. </w:t>
      </w:r>
      <w:hyperlink r:id="rId113" w:history="1">
        <w:r w:rsidRPr="0034126E">
          <w:rPr>
            <w:rStyle w:val="Hyperlink"/>
          </w:rPr>
          <w:t>http://www.fs.fed.us/psw/publications/documents/gtr-181/017_Zack.pdf</w:t>
        </w:r>
      </w:hyperlink>
      <w:r w:rsidRPr="0034126E">
        <w:t>.</w:t>
      </w:r>
    </w:p>
    <w:p w:rsidR="008D4530" w:rsidRDefault="008D4530" w:rsidP="008D4530"/>
    <w:p w:rsidR="008D4530" w:rsidRDefault="008D4530" w:rsidP="008D4530">
      <w:pPr>
        <w:rPr>
          <w:b/>
        </w:rPr>
      </w:pPr>
      <w:r>
        <w:t>Another recent science publication asked that the agencies salvage polices be brought up to date with current science.</w:t>
      </w:r>
    </w:p>
    <w:p w:rsidR="008D4530" w:rsidRDefault="008D4530" w:rsidP="008D4530">
      <w:pPr>
        <w:ind w:left="720"/>
      </w:pPr>
      <w:r>
        <w:rPr>
          <w:b/>
        </w:rPr>
        <w:t xml:space="preserve">Inadequacy of Current Snag Guidelines </w:t>
      </w:r>
    </w:p>
    <w:p w:rsidR="008D4530" w:rsidRDefault="008D4530" w:rsidP="008D4530">
      <w:pPr>
        <w:ind w:left="720"/>
      </w:pPr>
      <w:r>
        <w:t xml:space="preserve">Current snag-retention guidelines for most North American plant community types fall between 1 and 8 snags/ha. These guidelines emerged primarily from a consideration of the nesting requirements of cavity-nesting vertebrate species in the now classic Blue Mountains book (Thomas 1979). The retention of 8 snags/ha was judged to support 100% of the maximum population density of any of the woodpecker species that occur in the Blue Mountains area (Thomas 1979: Appendix 22). Bull et al. (1997) concluded that about 10 snags/ha in ponderosa pine and mixed-conifer forests should support viable populations of cavity-nesting birds. Thus, most current U.S. National Forest guidelines generally converge on the recommendation to retain 6–10 trees/ha, as do guidelines for </w:t>
      </w:r>
      <w:r>
        <w:lastRenderedPageBreak/>
        <w:t>Washington State, the Ontario Ministry of Natural Resources, the U.S. Army Corps of Engineers, and many other land management agencies.</w:t>
      </w:r>
    </w:p>
    <w:p w:rsidR="008D4530" w:rsidRDefault="008D4530" w:rsidP="008D4530">
      <w:pPr>
        <w:ind w:left="720"/>
      </w:pPr>
    </w:p>
    <w:p w:rsidR="008D4530" w:rsidRDefault="008D4530" w:rsidP="008D4530">
      <w:pPr>
        <w:ind w:left="720"/>
      </w:pPr>
      <w:r>
        <w:t xml:space="preserve">It has been acknowledged that snag guidelines should be sensitive to forest type and forest age because “the wildlife species that use snags are influenced by the stage of forest succession in which the snag occurs” and by the breakdown stage of the snag (Thomas et al. 1979). Moreover, snag types, sizes, and densities vary significantly with vegetation type (Harris 1999; Harmon 2002; White et al. 2002). Therefore, it follows necessarily that the desired snag types and densities will differ with both plant community type and successional stage and that we need as great a variety of guidelines as there are community types and successional stages (Bull et al. 1997; Everett et al. 1999; Rose et al. 2001; </w:t>
      </w:r>
      <w:proofErr w:type="spellStart"/>
      <w:r>
        <w:t>Kotliar</w:t>
      </w:r>
      <w:proofErr w:type="spellEnd"/>
      <w:r>
        <w:t xml:space="preserve"> et al. 2002; </w:t>
      </w:r>
      <w:proofErr w:type="spellStart"/>
      <w:r>
        <w:t>Lehmkuhl</w:t>
      </w:r>
      <w:proofErr w:type="spellEnd"/>
      <w:r>
        <w:t xml:space="preserve"> et al. 2003). Unfortunately, we have generally failed to adjust snag-retention recommendations to specific forest age, and nowhere is that failure more serious than for those special plant community types that were ignored in the development of the generic guidelines—recently burned conifer forests. Such forests are characterized by uniquely high densities of snags (</w:t>
      </w:r>
      <w:proofErr w:type="spellStart"/>
      <w:r>
        <w:t>Angelstam</w:t>
      </w:r>
      <w:proofErr w:type="spellEnd"/>
      <w:r>
        <w:t xml:space="preserve"> &amp; </w:t>
      </w:r>
      <w:proofErr w:type="spellStart"/>
      <w:r>
        <w:t>Mikusinski</w:t>
      </w:r>
      <w:proofErr w:type="spellEnd"/>
      <w:r>
        <w:t xml:space="preserve"> 1994; </w:t>
      </w:r>
      <w:proofErr w:type="spellStart"/>
      <w:r>
        <w:t>Hutto</w:t>
      </w:r>
      <w:proofErr w:type="spellEnd"/>
      <w:r>
        <w:t xml:space="preserve"> 1995; Agee 2002; </w:t>
      </w:r>
      <w:proofErr w:type="spellStart"/>
      <w:r>
        <w:t>Drapeau</w:t>
      </w:r>
      <w:proofErr w:type="spellEnd"/>
      <w:r>
        <w:t xml:space="preserve"> et al. 2002), and snag use by most woodpeckers in burned forests requires high snag densities because they nest in and feed from burned snags.</w:t>
      </w:r>
    </w:p>
    <w:p w:rsidR="008D4530" w:rsidRDefault="008D4530" w:rsidP="008D4530">
      <w:pPr>
        <w:ind w:left="720"/>
      </w:pPr>
    </w:p>
    <w:p w:rsidR="008D4530" w:rsidRDefault="008D4530" w:rsidP="008D4530">
      <w:pPr>
        <w:ind w:left="720"/>
      </w:pPr>
      <w:r>
        <w:t>These facts have been overlooked in the development and implementation of meaningful snag-management guidelines. Indeed, these guidelines have generally converged toward an average of 6–7 trees/ha because that number was deemed more than adequate to meet the nesting requirements of cavity-nesting wildlife species (Thomas et al. 1979:69). Snag guidelines were not originally developed with an eye toward non-nesting uses of snags or from an attempt to mirror snag densities that typically occur on unmanaged reference stands. Snag guidelines are still much narrower than numerous authors have suggested they ought to be, and we currently run the risk of managing coarse woody debris with uniform standards across historically variable landscapes, which is entirely inappropriate. Instead, we should be managing for levels of coarse woody debris that more accurately mirror levels characteristic of the natural disturbance regime (Agee 2002). Clearly, we need more data on what might constitute meaningful snag targets for all forest types and successional stages, and those targets should be set on the basis of reference conditions from natural post disturbance forests, not from managed forest stands and certainly not from consideration of only a single aspect of an organism’s life history.</w:t>
      </w:r>
    </w:p>
    <w:p w:rsidR="008D4530" w:rsidRDefault="008D4530" w:rsidP="008D4530">
      <w:pPr>
        <w:ind w:left="720"/>
      </w:pPr>
    </w:p>
    <w:p w:rsidR="008D4530" w:rsidRDefault="008D4530" w:rsidP="008D4530">
      <w:pPr>
        <w:ind w:left="720"/>
      </w:pPr>
      <w:r>
        <w:t xml:space="preserve">Newer guidelines that are appropriate for snag dependent species that occupy standing dead forests at the earliest stage of succession are beginning to trickle in (Saab &amp; Dudley 1998; Haggard &amp; Gaines 2001; Saab et al. 2002; </w:t>
      </w:r>
      <w:proofErr w:type="spellStart"/>
      <w:r>
        <w:t>Kotliar</w:t>
      </w:r>
      <w:proofErr w:type="spellEnd"/>
      <w:r>
        <w:t xml:space="preserve"> et al. 2002), and authors suggest that 200–300 snags/ha may better address the needs of wildlife in burned forests. The </w:t>
      </w:r>
      <w:r>
        <w:lastRenderedPageBreak/>
        <w:t>issue has yet to receive the serious management attention it deserves, but the comprehensive review of habitat needs of vertebrates in the Columbia River Basin (Wisdom et al. 2000) and the recently developed DecAID modeling effort in Washington and Oregon represent important efforts toward providing that kind of management guidance (Marcot et al. 2002).</w:t>
      </w:r>
    </w:p>
    <w:p w:rsidR="008D4530" w:rsidRDefault="008D4530" w:rsidP="008D4530">
      <w:proofErr w:type="spellStart"/>
      <w:r>
        <w:t>Hutto</w:t>
      </w:r>
      <w:proofErr w:type="spellEnd"/>
      <w:r>
        <w:t xml:space="preserve">, R.L., 2006. Toward Meaningful Snag-Management Guidelines for </w:t>
      </w:r>
      <w:proofErr w:type="spellStart"/>
      <w:r>
        <w:t>Postfire</w:t>
      </w:r>
      <w:proofErr w:type="spellEnd"/>
      <w:r>
        <w:t xml:space="preserve"> Salvage Logging in North American Conifer Forests. Conservation Biology Volume 20, No. 4, 984–993. </w:t>
      </w:r>
      <w:hyperlink r:id="rId114" w:history="1">
        <w:r>
          <w:rPr>
            <w:rStyle w:val="Hyperlink"/>
          </w:rPr>
          <w:t>http://web.archive.org/web/20090205212350/http://avianscience.dbs.umt.edu/documents/hutto_conbio_2006.pdf</w:t>
        </w:r>
      </w:hyperlink>
      <w:r>
        <w:t xml:space="preserve"> </w:t>
      </w:r>
    </w:p>
    <w:p w:rsidR="008D4530" w:rsidRDefault="008D4530" w:rsidP="008D4530"/>
    <w:p w:rsidR="008D4530" w:rsidRDefault="008D4530" w:rsidP="008D4530">
      <w:pPr>
        <w:ind w:left="720"/>
      </w:pPr>
      <w:r>
        <w:t>“In general, wildlife species that use dead wood for nesting, roosting, or foraging prefer larger diameter logs and snags (&gt;20 inches). Although we tallied dead wood in this size class throughout Oregon, the estimated density may not be sufficient for some wildlife species. For example, inventory results show a mean of almost 3 snags per acre in this size class in western Oregon and 1 per acre in eastern Oregon. This may indicate that large-diameter snags are currently uncommon in Oregon habitat and that management may be necessary to produce a greater density of large snags.”</w:t>
      </w:r>
    </w:p>
    <w:p w:rsidR="008D4530" w:rsidRDefault="008D4530" w:rsidP="008D4530">
      <w:proofErr w:type="spellStart"/>
      <w:r>
        <w:t>Donnegan</w:t>
      </w:r>
      <w:proofErr w:type="spellEnd"/>
      <w:r>
        <w:t xml:space="preserve">, Joseph; Campbell, Sally; Azuma, Dave, tech. eds. 2008. Oregon’s forest resources, 2001–2005: five-year Forest Inventory and Analysis report. Gen. Tech. Rep. PNW-GTR-765. Portland, OR: U.S. Forest Service, Pacific Northwest Research Station. 186 p. </w:t>
      </w:r>
      <w:hyperlink r:id="rId115" w:history="1">
        <w:r>
          <w:rPr>
            <w:rStyle w:val="Hyperlink"/>
          </w:rPr>
          <w:t>http://www.fs.fed.us/pnw/publications/gtr765/pnw-gtr765b.pdf</w:t>
        </w:r>
      </w:hyperlink>
      <w:r>
        <w:t>.</w:t>
      </w:r>
    </w:p>
    <w:p w:rsidR="008D4530" w:rsidRDefault="008D4530" w:rsidP="008D4530"/>
    <w:p w:rsidR="008D4530" w:rsidRDefault="008D4530" w:rsidP="008D4530">
      <w:r>
        <w:t xml:space="preserve">The bottom line is that current management at both the plan and project level does not reflect all this new information about the value of abundant snags and down wood. The agency must avoid any reduction of existing or future large snags and logs (including as part of this project) until the applicable management plans are rewritten to update the snag retention standards. </w:t>
      </w:r>
      <w:r>
        <w:rPr>
          <w:u w:val="single"/>
        </w:rPr>
        <w:t>See also</w:t>
      </w:r>
      <w:r>
        <w:t xml:space="preserve"> PNW Research Station, “Dead and Dying Trees: Essential for Life in the Forest,” Science Findings, Nov. 1999 (</w:t>
      </w:r>
      <w:hyperlink r:id="rId116" w:history="1">
        <w:r>
          <w:rPr>
            <w:rStyle w:val="Hyperlink"/>
          </w:rPr>
          <w:t>http://www.fs.fed.us/pnw/sciencef/scifi20.pdf</w:t>
        </w:r>
      </w:hyperlink>
      <w:r>
        <w:t xml:space="preserve"> ) (“Management implications: Current direction for providing wildlife habitat on public forest lands does not reflect findings from research since 1979; more snags and dead wood structures are required for foraging, denning, nesting, and roosting than previously thought.”) </w:t>
      </w:r>
      <w:r>
        <w:rPr>
          <w:u w:val="single"/>
        </w:rPr>
        <w:t>and</w:t>
      </w:r>
      <w:r>
        <w:t xml:space="preserve"> Jennifer M. </w:t>
      </w:r>
      <w:proofErr w:type="spellStart"/>
      <w:r>
        <w:t>Weikel</w:t>
      </w:r>
      <w:proofErr w:type="spellEnd"/>
      <w:r>
        <w:t xml:space="preserve"> and John P. Hayes, HABITAT USE BY SNAG-ASSOCIATED SPECIES: A BIBLIOGRAPHY FOR SPECIES OCCURRING IN OREGON AND WASHINGTON, Research Contribution 33 April 2001, </w:t>
      </w:r>
      <w:hyperlink r:id="rId117" w:history="1">
        <w:r>
          <w:rPr>
            <w:rStyle w:val="Hyperlink"/>
          </w:rPr>
          <w:t>http://www.fsl.orst.edu/cfer/snags/bibliography.pdf</w:t>
        </w:r>
      </w:hyperlink>
      <w:r>
        <w:t>.</w:t>
      </w:r>
    </w:p>
    <w:p w:rsidR="008D4530" w:rsidRDefault="008D4530" w:rsidP="008D4530"/>
    <w:p w:rsidR="008D4530" w:rsidRPr="0034126E" w:rsidRDefault="008D4530" w:rsidP="008D4530">
      <w:r>
        <w:t>Before adopting a plan amendment allowing widespread reduction in large trees available for snag recruitment, t</w:t>
      </w:r>
      <w:r w:rsidRPr="0034126E">
        <w:t xml:space="preserve">he </w:t>
      </w:r>
      <w:r>
        <w:t xml:space="preserve">Forest Service </w:t>
      </w:r>
      <w:r w:rsidRPr="0034126E">
        <w:t>need</w:t>
      </w:r>
      <w:r>
        <w:t>s</w:t>
      </w:r>
      <w:r w:rsidRPr="0034126E">
        <w:t xml:space="preserve"> to prepare a EIS to consider a replacement methodology for maintaining </w:t>
      </w:r>
      <w:r>
        <w:t>viable populations of wildlife</w:t>
      </w:r>
      <w:r w:rsidRPr="0034126E">
        <w:t xml:space="preserve"> </w:t>
      </w:r>
      <w:r>
        <w:t>(</w:t>
      </w:r>
      <w:r w:rsidRPr="0034126E">
        <w:t xml:space="preserve">and other </w:t>
      </w:r>
      <w:r>
        <w:t>functions)</w:t>
      </w:r>
      <w:r w:rsidRPr="0034126E">
        <w:t xml:space="preserve"> associated with dead wood. This is especially critical because adequate dead wood is recognized as an essential </w:t>
      </w:r>
      <w:r w:rsidRPr="0034126E">
        <w:lastRenderedPageBreak/>
        <w:t>feature of healthy forests and the Forest Service has identified lots of “management indicator species” associated with dead wood habitat.</w:t>
      </w:r>
    </w:p>
    <w:p w:rsidR="008D4530" w:rsidRPr="0034126E" w:rsidRDefault="008D4530" w:rsidP="008D4530"/>
    <w:p w:rsidR="001A11A7" w:rsidRDefault="008D4530" w:rsidP="0025001E">
      <w:r w:rsidRPr="0034126E">
        <w:t xml:space="preserve">Back in the early 1990s the Forest Service recognized the their forest plans were not adequate to maintain populations of spotted owls and they tried to develop plans to conserve spotted owl without following NEPA and NFMA procedures. The courts said they had to stop cutting owl habitat until they had complied with environmental laws. This is the same situation we find ourselves in today with dead-wood associated species. The agencies should stop harming dead wood habitat until they have a legal plan to conserve associated species over the long-term. </w:t>
      </w:r>
      <w:r w:rsidRPr="0034126E">
        <w:rPr>
          <w:i/>
        </w:rPr>
        <w:t xml:space="preserve">Seattle Audubon Society v. </w:t>
      </w:r>
      <w:proofErr w:type="spellStart"/>
      <w:r w:rsidRPr="0034126E">
        <w:rPr>
          <w:i/>
        </w:rPr>
        <w:t>Epsy</w:t>
      </w:r>
      <w:proofErr w:type="spellEnd"/>
      <w:r w:rsidRPr="0034126E">
        <w:t>, 998 F.2d 699, 704 (9th Cir. 1998) (an agency must re-examine its decision when the EIS "rests on stale scientific evidence and false assumptions").</w:t>
      </w:r>
      <w:r w:rsidR="001A11A7">
        <w:t xml:space="preserve"> </w:t>
      </w:r>
    </w:p>
    <w:p w:rsidR="0025001E" w:rsidRDefault="0025001E" w:rsidP="0025001E">
      <w:pPr>
        <w:pStyle w:val="Heading2"/>
      </w:pPr>
      <w:bookmarkStart w:id="30" w:name="_Toc53483530"/>
      <w:r>
        <w:t>LOS-ASSOCIATED WILDLIFE EFFECTS ANALYSIS</w:t>
      </w:r>
      <w:bookmarkEnd w:id="30"/>
    </w:p>
    <w:p w:rsidR="0025001E" w:rsidRDefault="0025001E" w:rsidP="0025001E">
      <w:r>
        <w:t>The EA lacks any meaningful species-specific analysis of the effects of large tree removal on the many wildlife that use large trees. Many of the affected wildlife are of conservation concern.</w:t>
      </w:r>
    </w:p>
    <w:p w:rsidR="00EE1DAC" w:rsidRDefault="00EE1DAC" w:rsidP="0025001E"/>
    <w:p w:rsidR="0025001E" w:rsidRDefault="0025001E" w:rsidP="0025001E">
      <w:r>
        <w:t>The analysis of effects to LOS wildlife is inconsistent and misleading. The EA (p 80) says “</w:t>
      </w:r>
      <w:r w:rsidRPr="003F04BB">
        <w:t>viability of species associated with late-open habitats would continue to decline</w:t>
      </w:r>
      <w:r>
        <w:t>” under current management. The EA (p 82) says the proposed action would “</w:t>
      </w:r>
      <w:r>
        <w:rPr>
          <w:sz w:val="23"/>
          <w:szCs w:val="23"/>
        </w:rPr>
        <w:t xml:space="preserve">contribute to the viability of species associated with late-open habitats.” This analysis fails to describe effects in a way that allows a comparison of alternatives. These two effects descriptions potentially describe the same thing in different ways. Both alternatives could allow management that “contributes to viability” and both could exhibit “declining viability.” </w:t>
      </w:r>
      <w:r>
        <w:t>The EA fails to describe any clear difference between alternatives. The effects analysis should highlight meaningful differences between alternatives, which it fails to do.</w:t>
      </w:r>
    </w:p>
    <w:p w:rsidR="00EE1DAC" w:rsidRDefault="00EE1DAC" w:rsidP="0025001E"/>
    <w:p w:rsidR="0025001E" w:rsidRDefault="0025001E" w:rsidP="0025001E">
      <w:r>
        <w:t>The finding of declining viability under the no action alternative is also seemingly contradicted by and Table 18 which shows open LOS habitat increasing under no action, and EA (p 36) which says “</w:t>
      </w:r>
      <w:r w:rsidRPr="0035525E">
        <w:t>The extent of late open LOS will continue to increase across the landscape</w:t>
      </w:r>
      <w:r>
        <w:t>” under the current management alternative. Importantly, the EA (Table 17, EA p 80) says that “trends in the availability of large trees and large snags” are key indicators for LOS associated wildlife habitats and species. So if large trees are the key indicator of wildlife viability and large trees are increasing, then why does the EA conclude that viability will continue to decline under existing management?</w:t>
      </w:r>
    </w:p>
    <w:p w:rsidR="00EE1DAC" w:rsidRDefault="00EE1DAC" w:rsidP="0025001E"/>
    <w:p w:rsidR="0025001E" w:rsidRPr="003F04BB" w:rsidRDefault="0025001E" w:rsidP="0025001E">
      <w:r>
        <w:t xml:space="preserve">Even focusing on LOS open habitat (rather than viability) proposed action outperforms no action by only &lt;2.8% over 25 years in open canopy LOS (EA p 36). This difference is likely inconsequential given all the variables and assumptions. The EA should not suggest that current management is uniquely unable to restore open canopy LOS habitat. This effect is caused by decades of high-grading, clearcutting, overzealous suppression of natural processes, and inadequate funding levels, and has little to do with the FS’ ability to remove large trees. The FS </w:t>
      </w:r>
      <w:r>
        <w:lastRenderedPageBreak/>
        <w:t xml:space="preserve">has the existing authority to convert closed canopy LOS to open canopy LOS, and does not need to remove large trees to accomplish this goal. There are many acres the FS could treat to advance this goal but chooses not to. See </w:t>
      </w:r>
      <w:proofErr w:type="spellStart"/>
      <w:r>
        <w:rPr>
          <w:sz w:val="23"/>
          <w:szCs w:val="23"/>
        </w:rPr>
        <w:t>Rainville</w:t>
      </w:r>
      <w:proofErr w:type="spellEnd"/>
      <w:r>
        <w:rPr>
          <w:sz w:val="23"/>
          <w:szCs w:val="23"/>
        </w:rPr>
        <w:t xml:space="preserve"> et al (2008), </w:t>
      </w:r>
      <w:hyperlink r:id="rId118" w:history="1">
        <w:r w:rsidRPr="00284A1A">
          <w:rPr>
            <w:rStyle w:val="Hyperlink"/>
            <w:sz w:val="23"/>
            <w:szCs w:val="23"/>
          </w:rPr>
          <w:t>http://www.fs.fed.us/pnw/pubs/pnw_gtr752.pdf</w:t>
        </w:r>
      </w:hyperlink>
      <w:r>
        <w:rPr>
          <w:sz w:val="23"/>
          <w:szCs w:val="23"/>
        </w:rPr>
        <w:t xml:space="preserve">. </w:t>
      </w:r>
    </w:p>
    <w:p w:rsidR="00EE1DAC" w:rsidRDefault="00EE1DAC" w:rsidP="0025001E"/>
    <w:p w:rsidR="0025001E" w:rsidRDefault="0025001E" w:rsidP="0025001E">
      <w:r>
        <w:t>The EA (p 81) also faults the no action alternative for failing to protect old trees that are smaller than 21” dbh. This is improper because the FS has the existing authority to protect such trees, without any plan amendment, and in fact the FS actually does protect small old trees in many recent projects. The analysis needs to be redone to include protection of small old trees (and conversion of some large young shade-tolerant trees to snags) under the no action alternative.</w:t>
      </w:r>
    </w:p>
    <w:p w:rsidR="00EE1DAC" w:rsidRDefault="00EE1DAC" w:rsidP="0025001E"/>
    <w:p w:rsidR="0025001E" w:rsidRDefault="0025001E" w:rsidP="0025001E">
      <w:r>
        <w:t>The EA needs to disclose how many of the old trees allegedly saved by the proposed action are large legacy trees that are ‘saved’ by removing competition from nearby large-young shade-tolerant trees versus, small old trees that are ‘saved’ by choosing not to cut them.</w:t>
      </w:r>
    </w:p>
    <w:p w:rsidR="00EE1DAC" w:rsidRDefault="00EE1DAC" w:rsidP="0025001E"/>
    <w:p w:rsidR="0025001E" w:rsidRPr="00444007" w:rsidRDefault="0025001E" w:rsidP="0025001E">
      <w:r>
        <w:t>The effects described in Tables 18 and 19 (and associated narrative text) needs to be rationalized and quantified. The proposed action provides &lt;2.8% more open LOS forest habitat over 25 years, but that improvement is only described qualitatively as “low-moderate increase,” compared to “low rate of increase” for the no action alternative. The EA should just provide the quantitative data and leave the subjective descriptions out of it. A 2.8% difference over 25 years is virtually indistinguishable, and open LOS forest still increases under no action without a lot of the negative trade-offs associated with logging large trees (e.g., carbon emissions, fewer snags, public distrust, social conflict).</w:t>
      </w:r>
    </w:p>
    <w:p w:rsidR="0025001E" w:rsidRDefault="0025001E" w:rsidP="0025001E">
      <w:pPr>
        <w:pStyle w:val="Heading2"/>
      </w:pPr>
      <w:bookmarkStart w:id="31" w:name="_Toc53483531"/>
      <w:r>
        <w:t>MEADOW ENCROACHMENT EFFECTS ANALYSIS</w:t>
      </w:r>
      <w:bookmarkEnd w:id="31"/>
    </w:p>
    <w:p w:rsidR="0025001E" w:rsidRDefault="0025001E" w:rsidP="0025001E">
      <w:r>
        <w:t xml:space="preserve">The EA (p 81) faults the existing Screens because the 21” diameter limit impedes removal of encroaching conifers from meadows and wetlands. This is highly misleading. First, there is nothing wrong with retaining a few large trees in meadows and wetlands. If encroaching trees have grown to be &gt;21” dbh, the FS has neglected to identify and address the problem for a very long time (up to 149 years). Maybe leaving a few large trees in meadows and wetlands is not that big of a deal. </w:t>
      </w:r>
    </w:p>
    <w:p w:rsidR="00EE1DAC" w:rsidRDefault="00EE1DAC" w:rsidP="0025001E"/>
    <w:p w:rsidR="0025001E" w:rsidRDefault="0025001E" w:rsidP="0025001E">
      <w:r>
        <w:t xml:space="preserve">Second, most of the conifers encroaching on meadows and wetlands are much smaller than 21” dbh. The FS has existing authority and  discretion to remove those trees, and the FS can even kill large young trees to create snags, using prescribed fire or other methods, providing benefits to both meadows and snag associated wildlife. Using existing authority to manage small trees, the FS can make great progress toward meadow and wetland restoration. The main impediment to small tree removal is Congressional funding, not the restrictions in the Eastside Screens. The EA (pp 26-27) says “harvest levels </w:t>
      </w:r>
      <w:r w:rsidRPr="00DB3E48">
        <w:rPr>
          <w:sz w:val="23"/>
          <w:szCs w:val="23"/>
        </w:rPr>
        <w:t>are more influenced by factors including road systems, logging systems, capacity, budget and individual forest plan direction.</w:t>
      </w:r>
      <w:r>
        <w:rPr>
          <w:sz w:val="23"/>
          <w:szCs w:val="23"/>
        </w:rPr>
        <w:t>”</w:t>
      </w:r>
    </w:p>
    <w:p w:rsidR="00EE1DAC" w:rsidRDefault="00EE1DAC" w:rsidP="0025001E"/>
    <w:p w:rsidR="0025001E" w:rsidRDefault="0025001E" w:rsidP="0025001E">
      <w:r>
        <w:lastRenderedPageBreak/>
        <w:t>Third, the FS failed to quantify and disclose the incremental difference between the current screens and the other alternatives.</w:t>
      </w:r>
    </w:p>
    <w:p w:rsidR="0025001E" w:rsidRDefault="0025001E" w:rsidP="0025001E">
      <w:pPr>
        <w:pStyle w:val="Heading2"/>
      </w:pPr>
      <w:bookmarkStart w:id="32" w:name="_Toc53483532"/>
      <w:r>
        <w:t>DEER AND ELK EFFECTS ANALYSIS</w:t>
      </w:r>
      <w:bookmarkEnd w:id="32"/>
    </w:p>
    <w:p w:rsidR="0025001E" w:rsidRDefault="0025001E" w:rsidP="0025001E">
      <w:r>
        <w:t xml:space="preserve">EA (pp 81-82) says the no action alternative “would continue to limit the application of restoration treatments that can be applied to increase the quality and quantity of forage for deer and elk.” This is misleading. First, removing large trees under the proposed action results in 0.2% less canopy than the no action alternative. (EA p 37). This difference is so small as to be inconsequential. </w:t>
      </w:r>
    </w:p>
    <w:p w:rsidR="00EE1DAC" w:rsidRDefault="00EE1DAC" w:rsidP="0025001E"/>
    <w:p w:rsidR="0025001E" w:rsidRDefault="0025001E" w:rsidP="0025001E">
      <w:r>
        <w:t xml:space="preserve">Second, most trees that are impeding growth of big game forage are much smaller than 21” dbh, and the FS has authority and discretion to enhance big game forage by managing small trees, and the FS can even kill large young trees to create snags, using prescribed fire or other methods, providing benefits to both big game and snag associated wildlife. Using existing authority to manage small trees, the FS can make great progress toward enhancing big game forage. The main impediment to small tree removal is Congressional funding, not the restrictions in the Eastside Screens. The EA (pp 26-27) says “harvest levels </w:t>
      </w:r>
      <w:r w:rsidRPr="00DB3E48">
        <w:rPr>
          <w:sz w:val="23"/>
          <w:szCs w:val="23"/>
        </w:rPr>
        <w:t>are more influenced by factors including road systems, logging systems, capacity, budget and individual forest plan direction.</w:t>
      </w:r>
      <w:r>
        <w:rPr>
          <w:sz w:val="23"/>
          <w:szCs w:val="23"/>
        </w:rPr>
        <w:t>”</w:t>
      </w:r>
    </w:p>
    <w:p w:rsidR="00EE1DAC" w:rsidRDefault="00EE1DAC" w:rsidP="0025001E"/>
    <w:p w:rsidR="0025001E" w:rsidRDefault="0025001E" w:rsidP="0025001E">
      <w:r>
        <w:t xml:space="preserve">Third, if “problem trees” have grown to be &gt;21” dbh, the FS has neglected to identify and address the problem for a very long time (up to 149 years). Maybe leaving a few large trees is not that big of a deal. </w:t>
      </w:r>
    </w:p>
    <w:p w:rsidR="00EE1DAC" w:rsidRDefault="00EE1DAC" w:rsidP="0025001E"/>
    <w:p w:rsidR="0025001E" w:rsidRDefault="0025001E" w:rsidP="0025001E">
      <w:r>
        <w:t>Fourth, the FS failed to quantify and disclose the incremental difference between the current screens and the other alternatives.</w:t>
      </w:r>
    </w:p>
    <w:p w:rsidR="0025001E" w:rsidRDefault="0025001E" w:rsidP="0025001E">
      <w:pPr>
        <w:pStyle w:val="Heading2"/>
      </w:pPr>
      <w:bookmarkStart w:id="33" w:name="_Toc53483533"/>
      <w:r>
        <w:t>HABITAT SUSTAINABILITY AND RESILIENCY EFFECTS ANALYSIS</w:t>
      </w:r>
      <w:bookmarkEnd w:id="33"/>
    </w:p>
    <w:p w:rsidR="0025001E" w:rsidRDefault="0025001E" w:rsidP="0025001E">
      <w:r>
        <w:t xml:space="preserve">The EA (p 82) analysis of the no action alternative is incomplete and misleading. Without providing any analysis, the EA concludes that the 21” diameter limit in the Eastside Screens impedes the ability to manage for sustainability and resiliency. This ignores several highly relevant facts. First, most trees that are allegedly crowding eastside forests and causing stress and reduced resilience are much smaller than 21” dbh, and the FS already has authority and discretion to manage and remove them, and the FS can even kill large young trees to create snags, using prescribed fire or other methods, enhancing both resilience and snag habitat. Using existing authority to manage small trees, the FS can make great progress toward improved stand and landscape resilience. </w:t>
      </w:r>
    </w:p>
    <w:p w:rsidR="00EE1DAC" w:rsidRDefault="00EE1DAC" w:rsidP="0025001E"/>
    <w:p w:rsidR="0025001E" w:rsidRDefault="0025001E" w:rsidP="0025001E">
      <w:r>
        <w:t>Second, if “problem trees” have grown to be &gt;21” dbh, the FS has neglected to identify and address the problem for a very long time (up to 149 years). Maybe leaving a few large trees is not that big of a deal. In fact, retaining and recruiting abundant large trees and large snags actually helps enhance resilience for wildlife that depend on those LOS components.</w:t>
      </w:r>
    </w:p>
    <w:p w:rsidR="00EE1DAC" w:rsidRDefault="00EE1DAC" w:rsidP="0025001E"/>
    <w:p w:rsidR="0025001E" w:rsidRDefault="0025001E" w:rsidP="0025001E">
      <w:r>
        <w:t xml:space="preserve">Third, the FS failed to quantify and disclose the incremental difference between the current screens and the other alternatives. However, some differences can be inferred. Resiliency is closely related to leaf area and canopy cover. The EA (p 37) shows that over 25 years, the proposed action only reduces canopy cover 0.2% better than the existing screens. This difference is so small as to be inconsequential. </w:t>
      </w:r>
    </w:p>
    <w:p w:rsidR="0025001E" w:rsidRDefault="0025001E" w:rsidP="0025001E">
      <w:pPr>
        <w:pStyle w:val="Heading2"/>
      </w:pPr>
      <w:bookmarkStart w:id="34" w:name="_Toc53483534"/>
      <w:r>
        <w:t>CUMULATIVE EFFECTS</w:t>
      </w:r>
      <w:bookmarkEnd w:id="34"/>
    </w:p>
    <w:p w:rsidR="0025001E" w:rsidRDefault="0025001E" w:rsidP="0025001E">
      <w:r>
        <w:t xml:space="preserve">The EA needs to carefully document cumulative impacts. In this case, some of the most important cumulative impacts to discuss include: </w:t>
      </w:r>
    </w:p>
    <w:p w:rsidR="0025001E" w:rsidRDefault="0025001E" w:rsidP="0025001E">
      <w:pPr>
        <w:pStyle w:val="ListParagraph"/>
        <w:numPr>
          <w:ilvl w:val="0"/>
          <w:numId w:val="11"/>
        </w:numPr>
        <w:spacing w:after="200"/>
      </w:pPr>
      <w:r>
        <w:t xml:space="preserve">Carbon storage and climate change: As a result of the cumulative emissions </w:t>
      </w:r>
      <w:proofErr w:type="spellStart"/>
      <w:r>
        <w:t>form</w:t>
      </w:r>
      <w:proofErr w:type="spellEnd"/>
      <w:r>
        <w:t xml:space="preserve"> both fossil fuels and land use and forestry, the atmosphere is overloaded with greenhouse gases. Large trees store a disproportionate amount of carbon and logging large trees will cause a disproportionate amount of GHG emissions adding to the problem of cumulative emissions and global climate change, ocean acidification, and related environmental, economic, human health, and social justice impacts.</w:t>
      </w:r>
    </w:p>
    <w:p w:rsidR="0025001E" w:rsidRDefault="0025001E" w:rsidP="0025001E">
      <w:pPr>
        <w:pStyle w:val="ListParagraph"/>
        <w:numPr>
          <w:ilvl w:val="0"/>
          <w:numId w:val="11"/>
        </w:numPr>
        <w:spacing w:after="200"/>
      </w:pPr>
      <w:r>
        <w:t>Large tree habitat and large snag habitat: As a result of the cumulative effects of past and ongoing logging on public and private lands, plus natural disturbance processes amplified by global climate change, there is a severe shortage of large trees in eastside forests. Fewer large trees directly translates to fewer large snags. This causes a variety of adverse effects on soil conservation and development, hydrology and water quality, fish &amp; wildlife associated with large trees and large snags, climate stability, recreation, scenery, and quality of life. The EA needs to disclose the magnitude and extent of the shortage of large trees and how logging large trees under this amendment will make a bad situation worse.</w:t>
      </w:r>
    </w:p>
    <w:p w:rsidR="0025001E" w:rsidRDefault="0025001E" w:rsidP="0025001E">
      <w:r>
        <w:t>The FS should look at the record developed during ICBEMP to help develop a detailed and informative analysis of the cumulative effects of this plan amendment. In fact, one could persuasively argue that the cumulative loss of large trees triggered the decade long ICBEMP EIS process, and this plan amendment allowing removal of large trees make a bad situation worse, and triggers significant cumulative effects requiring an EIS.</w:t>
      </w:r>
    </w:p>
    <w:p w:rsidR="0025001E" w:rsidRPr="00C86A7F" w:rsidRDefault="0025001E" w:rsidP="0025001E">
      <w:pPr>
        <w:ind w:left="720"/>
      </w:pPr>
    </w:p>
    <w:p w:rsidR="0077438E" w:rsidRDefault="0077438E" w:rsidP="0077438E">
      <w:pPr>
        <w:pStyle w:val="Heading2"/>
        <w:keepLines w:val="0"/>
        <w:numPr>
          <w:ilvl w:val="1"/>
          <w:numId w:val="0"/>
        </w:numPr>
        <w:tabs>
          <w:tab w:val="num" w:pos="0"/>
        </w:tabs>
        <w:suppressAutoHyphens/>
        <w:spacing w:before="0" w:line="240" w:lineRule="auto"/>
        <w:ind w:left="576" w:hanging="576"/>
      </w:pPr>
      <w:bookmarkStart w:id="35" w:name="_Toc53483535"/>
      <w:r>
        <w:t>PORTIONS OF THE SCIENCE WHITEPAPER ARE FLAWED.</w:t>
      </w:r>
      <w:bookmarkEnd w:id="35"/>
    </w:p>
    <w:p w:rsidR="0077438E" w:rsidRPr="00C40209" w:rsidRDefault="0077438E" w:rsidP="007F02FF">
      <w:pPr>
        <w:pStyle w:val="Subtitle"/>
        <w:ind w:left="576"/>
      </w:pPr>
      <w:bookmarkStart w:id="36" w:name="_Toc40443491"/>
      <w:r w:rsidRPr="00C40209">
        <w:t>Large trees serve a diverse array of ecological functions, regardless of age and species.</w:t>
      </w:r>
      <w:bookmarkEnd w:id="36"/>
    </w:p>
    <w:p w:rsidR="0077438E" w:rsidRDefault="0077438E" w:rsidP="0077438E">
      <w:r>
        <w:t>The science whitepaper says “tree diameter was used as a surrogate for tree age” when the screens were adopted. This is not entirely accurate.</w:t>
      </w:r>
      <w:r w:rsidRPr="005E4826">
        <w:t xml:space="preserve"> </w:t>
      </w:r>
      <w:r>
        <w:t xml:space="preserve">Under the screens, large trees are </w:t>
      </w:r>
      <w:r w:rsidRPr="0077438E">
        <w:rPr>
          <w:i/>
        </w:rPr>
        <w:t>functional</w:t>
      </w:r>
      <w:r>
        <w:t xml:space="preserve"> surrogates, not </w:t>
      </w:r>
      <w:r w:rsidRPr="0077438E">
        <w:rPr>
          <w:i/>
        </w:rPr>
        <w:t>age</w:t>
      </w:r>
      <w:r>
        <w:t xml:space="preserve"> surrogates. </w:t>
      </w:r>
      <w:r w:rsidRPr="005E4826">
        <w:t xml:space="preserve">The stated intent of the large tree retention requirement of the Eastside Screens is to "maintain and/or enhance LOS </w:t>
      </w:r>
      <w:r>
        <w:t xml:space="preserve">[late old structure] </w:t>
      </w:r>
      <w:r w:rsidRPr="005E4826">
        <w:t xml:space="preserve">components" and </w:t>
      </w:r>
      <w:r>
        <w:t xml:space="preserve">it is not disputed that </w:t>
      </w:r>
      <w:r w:rsidRPr="005E4826">
        <w:t>large trees serve as late old structure r</w:t>
      </w:r>
      <w:r>
        <w:t xml:space="preserve">egardless of their age. Those functions include: habitat for a wide variety of fish, birds, mammals, reptiles, amphibians, invertebrates, </w:t>
      </w:r>
      <w:r>
        <w:lastRenderedPageBreak/>
        <w:t xml:space="preserve">fungi, lichen, etc. whose relationship with large trees is NOT species specific; favorable microclimate/microsite, suppressing growth of ladder fuels, soil conservation, slope stability, carbon storage, capture/storage/release of water/nutrients/energy, etc. The Forest Service should carefully review the wide array of ecological functions provided by large trees (and large snags, because every large live tree removed also sacrifices all the benefits of large trees after they die), that would be sacrificed if large shade-tolerant trees are removed from eastside forest ecosystems. Some suggested places to start that investigation include: </w:t>
      </w:r>
    </w:p>
    <w:p w:rsidR="0077438E" w:rsidRDefault="0077438E" w:rsidP="0077438E">
      <w:pPr>
        <w:pStyle w:val="ListParagraph"/>
        <w:numPr>
          <w:ilvl w:val="0"/>
          <w:numId w:val="23"/>
        </w:numPr>
      </w:pPr>
      <w:r>
        <w:t xml:space="preserve">David B. </w:t>
      </w:r>
      <w:proofErr w:type="spellStart"/>
      <w:r>
        <w:t>Lindenmayer</w:t>
      </w:r>
      <w:proofErr w:type="spellEnd"/>
      <w:r>
        <w:t xml:space="preserve"> and William F. </w:t>
      </w:r>
      <w:proofErr w:type="spellStart"/>
      <w:r>
        <w:t>Laurance</w:t>
      </w:r>
      <w:proofErr w:type="spellEnd"/>
      <w:r>
        <w:t xml:space="preserve">. 2016. The ecology, distribution, conservation and management of large old trees. Biol. Rev. (2016), pp. 000–000. </w:t>
      </w:r>
      <w:proofErr w:type="spellStart"/>
      <w:r>
        <w:t>doi</w:t>
      </w:r>
      <w:proofErr w:type="spellEnd"/>
      <w:r>
        <w:t xml:space="preserve">: 10.1111/brv.12290 </w:t>
      </w:r>
      <w:hyperlink r:id="rId119" w:history="1">
        <w:r>
          <w:rPr>
            <w:rStyle w:val="Hyperlink"/>
          </w:rPr>
          <w:t>https://partnersinforestry.com/Documents/2016%20The%20ecology,%20distribution,%20conservation%20and%20management%20of%20large%20old%20trees%20-%20BiolRev%20DOI.pdf</w:t>
        </w:r>
      </w:hyperlink>
      <w:r>
        <w:t>.</w:t>
      </w:r>
    </w:p>
    <w:p w:rsidR="0077438E" w:rsidRDefault="0077438E" w:rsidP="0077438E">
      <w:pPr>
        <w:pStyle w:val="ListParagraph"/>
        <w:numPr>
          <w:ilvl w:val="0"/>
          <w:numId w:val="23"/>
        </w:numPr>
        <w:autoSpaceDE w:val="0"/>
      </w:pPr>
      <w:r>
        <w:t xml:space="preserve">Lutz et al (2018). </w:t>
      </w:r>
      <w:r w:rsidRPr="0067498B">
        <w:t>Global importance of large-diameter trees</w:t>
      </w:r>
      <w:r>
        <w:t xml:space="preserve">. Global Ecology and Biogeography. 2018:1-16. </w:t>
      </w:r>
      <w:r w:rsidRPr="0067498B">
        <w:t>DOI: 10.1111/geb.12747</w:t>
      </w:r>
      <w:r>
        <w:t xml:space="preserve">. </w:t>
      </w:r>
      <w:hyperlink r:id="rId120" w:history="1">
        <w:r>
          <w:rPr>
            <w:rStyle w:val="Hyperlink"/>
          </w:rPr>
          <w:t>https://www.fs.fed.us/rm/pubs_journals/2018/rmrs_2018_lutz_j001.pdf</w:t>
        </w:r>
      </w:hyperlink>
      <w:r>
        <w:t>.</w:t>
      </w:r>
    </w:p>
    <w:p w:rsidR="0077438E" w:rsidRDefault="0077438E" w:rsidP="0077438E">
      <w:pPr>
        <w:pStyle w:val="ListParagraph"/>
        <w:numPr>
          <w:ilvl w:val="0"/>
          <w:numId w:val="23"/>
        </w:numPr>
        <w:autoSpaceDE w:val="0"/>
      </w:pPr>
      <w:r>
        <w:t xml:space="preserve">Lutz JA, Larson AJ, Swanson ME, Freund JA (2012) Ecological Importance of Large-Diameter Trees in a Temperate Mixed-Conifer Forest. </w:t>
      </w:r>
      <w:proofErr w:type="spellStart"/>
      <w:r>
        <w:t>PLoS</w:t>
      </w:r>
      <w:proofErr w:type="spellEnd"/>
      <w:r>
        <w:t xml:space="preserve"> ONE 7(5):e36131. doi:10.1371/journal.pone.0036131. </w:t>
      </w:r>
      <w:hyperlink r:id="rId121" w:history="1">
        <w:r>
          <w:rPr>
            <w:rStyle w:val="Hyperlink"/>
          </w:rPr>
          <w:t>https://pdfs.semanticscholar.org/6370/916128ae1725586f26ec1c177b5a6fb70fa8.pdf</w:t>
        </w:r>
      </w:hyperlink>
      <w:r>
        <w:t>.</w:t>
      </w:r>
    </w:p>
    <w:p w:rsidR="0077438E" w:rsidRDefault="0077438E" w:rsidP="0077438E">
      <w:pPr>
        <w:pStyle w:val="ListParagraph"/>
        <w:numPr>
          <w:ilvl w:val="0"/>
          <w:numId w:val="23"/>
        </w:numPr>
      </w:pPr>
      <w:r>
        <w:t xml:space="preserve">Rose, C.L., Marcot, B.G., Mellen, T.K., Ohmann, J.L., Waddell, K.L., Lindely, D.L., and B. Schrieber. 2001. Decaying Wood in Pacific Northwest Forests: Concepts and Tools for Habitat Management, Chapter 24 in Wildlife-Habitat Relationships in Oregon and Washington (Johnson, D. H. and T. A. O’Neil. OSU Press. 2001) </w:t>
      </w:r>
      <w:hyperlink r:id="rId122" w:history="1">
        <w:r w:rsidRPr="00BF5FC1">
          <w:rPr>
            <w:rStyle w:val="Hyperlink"/>
          </w:rPr>
          <w:t>http://web.archive.org/web/20060708035905/http://www.nwhi.org/inc/data/GISdata/docs/chapter24.pdf</w:t>
        </w:r>
      </w:hyperlink>
      <w:r>
        <w:t xml:space="preserve">; </w:t>
      </w:r>
    </w:p>
    <w:p w:rsidR="0077438E" w:rsidRDefault="0077438E" w:rsidP="0077438E">
      <w:pPr>
        <w:pStyle w:val="ListParagraph"/>
        <w:numPr>
          <w:ilvl w:val="0"/>
          <w:numId w:val="23"/>
        </w:numPr>
      </w:pPr>
      <w:r>
        <w:t xml:space="preserve">Marcot, B. 2003. DECAID: </w:t>
      </w:r>
      <w:r w:rsidRPr="00F608F0">
        <w:t>Ecosystem Processes Related to Wood Decay</w:t>
      </w:r>
      <w:r>
        <w:t xml:space="preserve">. </w:t>
      </w:r>
      <w:hyperlink r:id="rId123" w:history="1">
        <w:r>
          <w:rPr>
            <w:rStyle w:val="Hyperlink"/>
          </w:rPr>
          <w:t>https://apps.fs.usda.gov/r6_decaid/legacy/decaid/pages/Ecosystem-Processes.html</w:t>
        </w:r>
      </w:hyperlink>
      <w:r>
        <w:t>;</w:t>
      </w:r>
    </w:p>
    <w:p w:rsidR="0077438E" w:rsidRDefault="0077438E" w:rsidP="0077438E">
      <w:pPr>
        <w:pStyle w:val="ListParagraph"/>
        <w:numPr>
          <w:ilvl w:val="0"/>
          <w:numId w:val="23"/>
        </w:numPr>
      </w:pPr>
      <w:r>
        <w:t xml:space="preserve">Bruce G. Marcot &amp; Madeleine Vander </w:t>
      </w:r>
      <w:proofErr w:type="spellStart"/>
      <w:r>
        <w:t>Heyden</w:t>
      </w:r>
      <w:proofErr w:type="spellEnd"/>
      <w:r>
        <w:t xml:space="preserve">. 2001. Key Ecological Functions of Wildlife Species. Chapter 6 </w:t>
      </w:r>
      <w:r w:rsidRPr="00F608F0">
        <w:rPr>
          <w:i/>
        </w:rPr>
        <w:t>in</w:t>
      </w:r>
      <w:r>
        <w:t xml:space="preserve"> </w:t>
      </w:r>
      <w:r w:rsidRPr="00F608F0">
        <w:t xml:space="preserve">D.H. Johnson and T. A. O'Neil, ed. </w:t>
      </w:r>
      <w:r>
        <w:t xml:space="preserve">2001. </w:t>
      </w:r>
      <w:r w:rsidRPr="00F608F0">
        <w:t xml:space="preserve">Wildlife-habitat relationships in Oregon and Washington. Oregon State University Press, Corvallis OR. </w:t>
      </w:r>
      <w:r>
        <w:t xml:space="preserve">Wildlife </w:t>
      </w:r>
      <w:r w:rsidRPr="00F608F0">
        <w:t>Habitat Relationships in Oregon and Washington</w:t>
      </w:r>
      <w:r>
        <w:t xml:space="preserve">. </w:t>
      </w:r>
      <w:hyperlink r:id="rId124" w:history="1">
        <w:r>
          <w:rPr>
            <w:rStyle w:val="Hyperlink"/>
          </w:rPr>
          <w:t>https://apps.fs.usda.gov/r6_decaid/legacy/decaid/pages/documents/JandOchapter6.pdf</w:t>
        </w:r>
      </w:hyperlink>
      <w:r>
        <w:t>; (Large trees and large snags support wildlife. Fewer large trees and snags means fewer wildlife which diminishes the ecological functions associated with those wildlife.);</w:t>
      </w:r>
    </w:p>
    <w:p w:rsidR="0077438E" w:rsidRDefault="0077438E" w:rsidP="0077438E">
      <w:pPr>
        <w:pStyle w:val="ListParagraph"/>
        <w:numPr>
          <w:ilvl w:val="0"/>
          <w:numId w:val="23"/>
        </w:numPr>
      </w:pPr>
      <w:r>
        <w:t xml:space="preserve">DECAID: Summary Narrative: Advice on Decayed Wood in the Eastside Mixed Conifer Forest E Cascades/Blue </w:t>
      </w:r>
      <w:proofErr w:type="spellStart"/>
      <w:r>
        <w:t>Mnts</w:t>
      </w:r>
      <w:proofErr w:type="spellEnd"/>
      <w:r>
        <w:t>., Larger Trees Vegetation Condition.</w:t>
      </w:r>
      <w:r w:rsidRPr="0043726A">
        <w:t xml:space="preserve"> ECOLOGICAL FUNCTIONS AND PROCESSES OF DECAYED WOOD ELEMENTS </w:t>
      </w:r>
      <w:r>
        <w:t xml:space="preserve"> </w:t>
      </w:r>
      <w:hyperlink r:id="rId125" w:anchor="ECOLOGICAL%20FUNCTIONS%20AND%20PROCESSES%20OF%20DECAYED%20WOOD%20ELEMENTS" w:history="1">
        <w:r w:rsidRPr="00BF5FC1">
          <w:rPr>
            <w:rStyle w:val="Hyperlink"/>
          </w:rPr>
          <w:t>https://apps.fs.usda.gov/r6_decaid/legacy/decaid/queries/emcf-e-cscds-bmt/lrgr-</w:t>
        </w:r>
        <w:r w:rsidRPr="00BF5FC1">
          <w:rPr>
            <w:rStyle w:val="Hyperlink"/>
          </w:rPr>
          <w:lastRenderedPageBreak/>
          <w:t>trs/narrative.html#ECOLOGICAL%20FUNCTIONS%20AND%20PROCESSES%20OF%20DECAYED%20WOOD%20ELEMENTS</w:t>
        </w:r>
      </w:hyperlink>
      <w:r>
        <w:t>.</w:t>
      </w:r>
    </w:p>
    <w:p w:rsidR="0077438E" w:rsidRDefault="0077438E" w:rsidP="0077438E">
      <w:pPr>
        <w:pStyle w:val="ListParagraph"/>
        <w:numPr>
          <w:ilvl w:val="0"/>
          <w:numId w:val="23"/>
        </w:numPr>
      </w:pPr>
      <w:r>
        <w:t xml:space="preserve">Bruce G. Marcot. 2002. An Ecological Functional Basis for Managing Wood Decay Elements for Wildlife.  </w:t>
      </w:r>
      <w:r w:rsidRPr="00213F1F">
        <w:t>USDA Forest Service Gen. T</w:t>
      </w:r>
      <w:r>
        <w:t xml:space="preserve">ech. Rep. PSW-GTR-181. 2002. </w:t>
      </w:r>
      <w:hyperlink r:id="rId126" w:history="1">
        <w:r>
          <w:rPr>
            <w:rStyle w:val="Hyperlink"/>
          </w:rPr>
          <w:t>https://pdfs.semanticscholar.org/177e/c9c018e78b1ed8da4a8b070702bb75211caa.pdf</w:t>
        </w:r>
      </w:hyperlink>
      <w:r>
        <w:t>.</w:t>
      </w:r>
    </w:p>
    <w:p w:rsidR="0077438E" w:rsidRDefault="0077438E" w:rsidP="0077438E">
      <w:pPr>
        <w:pStyle w:val="ListParagraph"/>
        <w:numPr>
          <w:ilvl w:val="0"/>
          <w:numId w:val="23"/>
        </w:numPr>
      </w:pPr>
      <w:r>
        <w:t xml:space="preserve">Overall List of Key Ecological Functions from the Oregon-Washington Species-Habitat Project. </w:t>
      </w:r>
      <w:hyperlink r:id="rId127" w:history="1">
        <w:r>
          <w:rPr>
            <w:rStyle w:val="Hyperlink"/>
          </w:rPr>
          <w:t>https://web.archive.org/web/20080405154205/http://www.fs.fed.us/wildecology/decaid/decaid_background/decaid_kefs.htm</w:t>
        </w:r>
      </w:hyperlink>
      <w:r>
        <w:t>.</w:t>
      </w:r>
    </w:p>
    <w:p w:rsidR="0077438E" w:rsidRDefault="0077438E" w:rsidP="0077438E">
      <w:pPr>
        <w:pStyle w:val="ListParagraph"/>
        <w:numPr>
          <w:ilvl w:val="0"/>
          <w:numId w:val="23"/>
        </w:numPr>
      </w:pPr>
      <w:proofErr w:type="spellStart"/>
      <w:r w:rsidRPr="0043726A">
        <w:t>Sedell</w:t>
      </w:r>
      <w:proofErr w:type="spellEnd"/>
      <w:r w:rsidRPr="0043726A">
        <w:t>, J., and C. Maser. 1994. From the forest to the sea: the ecology of wood in streams, rivers, estuaries, and oceans. St. Lucia Press, Delray Beach, FL. 200 pp.</w:t>
      </w:r>
    </w:p>
    <w:p w:rsidR="0077438E" w:rsidRDefault="0077438E" w:rsidP="0077438E">
      <w:pPr>
        <w:pStyle w:val="ListParagraph"/>
        <w:numPr>
          <w:ilvl w:val="0"/>
          <w:numId w:val="23"/>
        </w:numPr>
      </w:pPr>
      <w:r>
        <w:t xml:space="preserve">Alan Moore, Why Fish Love ‘Large Woody Debris.’ Trout Unlimited. 2-4-2013. </w:t>
      </w:r>
      <w:hyperlink r:id="rId128" w:history="1">
        <w:r>
          <w:rPr>
            <w:rStyle w:val="Hyperlink"/>
          </w:rPr>
          <w:t>http://troutunlimitedblog.com/large-woody-debris-makes-for-fishy-rivers/</w:t>
        </w:r>
      </w:hyperlink>
      <w:r>
        <w:t>.</w:t>
      </w:r>
    </w:p>
    <w:p w:rsidR="0077438E" w:rsidRDefault="0077438E" w:rsidP="0077438E">
      <w:pPr>
        <w:pStyle w:val="ListParagraph"/>
        <w:numPr>
          <w:ilvl w:val="0"/>
          <w:numId w:val="23"/>
        </w:numPr>
      </w:pPr>
      <w:r w:rsidRPr="00EE145E">
        <w:t xml:space="preserve">Hannah </w:t>
      </w:r>
      <w:proofErr w:type="spellStart"/>
      <w:r w:rsidRPr="00EE145E">
        <w:t>Ettema</w:t>
      </w:r>
      <w:proofErr w:type="spellEnd"/>
      <w:r>
        <w:t xml:space="preserve"> 2014. </w:t>
      </w:r>
      <w:r w:rsidRPr="00EE145E">
        <w:t>Seven Reasons Why Fish Need Wood</w:t>
      </w:r>
      <w:r>
        <w:t xml:space="preserve">. </w:t>
      </w:r>
      <w:hyperlink r:id="rId129" w:history="1">
        <w:r w:rsidRPr="00B61846">
          <w:rPr>
            <w:rStyle w:val="Hyperlink"/>
          </w:rPr>
          <w:t>https://www.nationalforests.org/blog/seven-reasons-why-fish-need-wood</w:t>
        </w:r>
      </w:hyperlink>
      <w:r>
        <w:t>.</w:t>
      </w:r>
    </w:p>
    <w:p w:rsidR="0077438E" w:rsidRDefault="0077438E" w:rsidP="0077438E">
      <w:pPr>
        <w:pStyle w:val="ListParagraph"/>
        <w:numPr>
          <w:ilvl w:val="0"/>
          <w:numId w:val="23"/>
        </w:numPr>
      </w:pPr>
      <w:r w:rsidRPr="00213F1F">
        <w:t>BLICHARSKA, M. and MIKUSIŃSKI, G. (2014), Incorporating Social and Cultural Significance of Large Old Trees in Conservation Policy. Conservation Biology, 28: 1558-1567. doi:10.1111/cobi.12341</w:t>
      </w:r>
      <w:r>
        <w:t xml:space="preserve">. </w:t>
      </w:r>
      <w:hyperlink r:id="rId130" w:history="1">
        <w:r>
          <w:rPr>
            <w:rStyle w:val="Hyperlink"/>
          </w:rPr>
          <w:t>https://conbio.onlinelibrary.wiley.com/action/showCitFormats?doi=10.1111%2Fcobi.12341</w:t>
        </w:r>
      </w:hyperlink>
      <w:r>
        <w:t xml:space="preserve">. </w:t>
      </w:r>
    </w:p>
    <w:p w:rsidR="0077438E" w:rsidRDefault="0077438E" w:rsidP="0077438E"/>
    <w:p w:rsidR="0077438E" w:rsidRDefault="0077438E" w:rsidP="0077438E">
      <w:r>
        <w:t xml:space="preserve">The May 11, 2020 </w:t>
      </w:r>
      <w:hyperlink r:id="rId131" w:history="1">
        <w:r w:rsidRPr="0003477E">
          <w:rPr>
            <w:rStyle w:val="Hyperlink"/>
          </w:rPr>
          <w:t>science forum</w:t>
        </w:r>
      </w:hyperlink>
      <w:r>
        <w:t xml:space="preserve"> sponsored by the FS affirmed that large shade-intolerant trees are still in short supply. In that case, it makes sense to protect large shade-tolerant trees because they can serve many if not most of the same ecological functions. The science white paper even says “when large individuals of early-seral species are not available, late-seral species (e.g., grand or white fir) may provide the only opportunity for providing large tree habitat structures.”</w:t>
      </w:r>
    </w:p>
    <w:p w:rsidR="0077438E" w:rsidRDefault="0077438E" w:rsidP="0077438E"/>
    <w:p w:rsidR="0077438E" w:rsidRDefault="0077438E" w:rsidP="0077438E">
      <w:r>
        <w:t>The whitepaper says “Key findings include recent research showing that older trees (more than 150 years), especially those of early seral species, contribute important ecological values not present in younger large trees.” This is incomplete and misleading, because it ignores the compelling evidence that many ecological functions are provided by large trees regardless of age or species. It would be quite disingenuous for the Forest Service to focus on a few ecological functions of large trees that may be age-specific or species-specific, while dismissing the multitude of ecological functions provided by large trees that are NOT age- or species-specific.</w:t>
      </w:r>
    </w:p>
    <w:p w:rsidR="0065505E" w:rsidRDefault="0065505E" w:rsidP="0077438E"/>
    <w:p w:rsidR="0065505E" w:rsidRDefault="0065505E" w:rsidP="0065505E">
      <w:r w:rsidRPr="0065505E">
        <w:t>The NEPA analysis needs to take a hard look at the ecosystem services provided by large shade-tolerant trees.</w:t>
      </w:r>
      <w:r>
        <w:t xml:space="preserve"> For instance, </w:t>
      </w:r>
    </w:p>
    <w:p w:rsidR="0065505E" w:rsidRDefault="0065505E" w:rsidP="0065505E">
      <w:pPr>
        <w:pStyle w:val="ListParagraph"/>
        <w:numPr>
          <w:ilvl w:val="0"/>
          <w:numId w:val="31"/>
        </w:numPr>
        <w:spacing w:after="160" w:line="259" w:lineRule="auto"/>
      </w:pPr>
      <w:r w:rsidRPr="0065505E">
        <w:t xml:space="preserve">Howard, Janet L.; </w:t>
      </w:r>
      <w:proofErr w:type="spellStart"/>
      <w:r w:rsidRPr="0065505E">
        <w:t>Aleksoff</w:t>
      </w:r>
      <w:proofErr w:type="spellEnd"/>
      <w:r w:rsidRPr="0065505E">
        <w:t xml:space="preserve">, Keith C. 2000. </w:t>
      </w:r>
      <w:proofErr w:type="spellStart"/>
      <w:r w:rsidRPr="0065505E">
        <w:rPr>
          <w:i/>
          <w:iCs/>
        </w:rPr>
        <w:t>Abies</w:t>
      </w:r>
      <w:proofErr w:type="spellEnd"/>
      <w:r w:rsidRPr="0065505E">
        <w:rPr>
          <w:i/>
          <w:iCs/>
        </w:rPr>
        <w:t xml:space="preserve"> </w:t>
      </w:r>
      <w:proofErr w:type="spellStart"/>
      <w:r w:rsidRPr="0065505E">
        <w:rPr>
          <w:i/>
          <w:iCs/>
        </w:rPr>
        <w:t>grandis</w:t>
      </w:r>
      <w:proofErr w:type="spellEnd"/>
      <w:r w:rsidRPr="0065505E">
        <w:t xml:space="preserve">. In: Fire Effects Information System, [Online]. U.S. Department of Agriculture, Forest Service, Rocky Mountain Research </w:t>
      </w:r>
      <w:r w:rsidRPr="0065505E">
        <w:lastRenderedPageBreak/>
        <w:t xml:space="preserve">Station, Fire Sciences Laboratory (Producer) </w:t>
      </w:r>
      <w:hyperlink r:id="rId132" w:history="1">
        <w:r w:rsidRPr="0065505E">
          <w:rPr>
            <w:rStyle w:val="Hyperlink"/>
          </w:rPr>
          <w:t>https://www.fs.fed.us/database/feis/plants/tree/abigra/all.html</w:t>
        </w:r>
      </w:hyperlink>
      <w:r w:rsidRPr="0065505E">
        <w:t xml:space="preserve">  </w:t>
      </w:r>
    </w:p>
    <w:p w:rsidR="0065505E" w:rsidRPr="0065505E" w:rsidRDefault="0065505E" w:rsidP="0065505E">
      <w:pPr>
        <w:pStyle w:val="ListParagraph"/>
        <w:numPr>
          <w:ilvl w:val="1"/>
          <w:numId w:val="31"/>
        </w:numPr>
        <w:spacing w:after="160" w:line="259" w:lineRule="auto"/>
      </w:pPr>
      <w:r w:rsidRPr="0065505E">
        <w:rPr>
          <w:color w:val="000000"/>
          <w:shd w:val="clear" w:color="auto" w:fill="FFFFFF"/>
        </w:rPr>
        <w:t>“Grand fir is an indicator of productive forest sites [</w:t>
      </w:r>
      <w:hyperlink r:id="rId133" w:anchor="80" w:history="1">
        <w:r w:rsidRPr="0065505E">
          <w:rPr>
            <w:rStyle w:val="Hyperlink"/>
            <w:shd w:val="clear" w:color="auto" w:fill="FFFFFF"/>
          </w:rPr>
          <w:t>80</w:t>
        </w:r>
      </w:hyperlink>
      <w:r w:rsidRPr="0065505E">
        <w:rPr>
          <w:color w:val="000000"/>
          <w:shd w:val="clear" w:color="auto" w:fill="FFFFFF"/>
        </w:rPr>
        <w:t>,</w:t>
      </w:r>
      <w:hyperlink r:id="rId134" w:anchor="88" w:history="1">
        <w:r w:rsidRPr="0065505E">
          <w:rPr>
            <w:rStyle w:val="Hyperlink"/>
            <w:shd w:val="clear" w:color="auto" w:fill="FFFFFF"/>
          </w:rPr>
          <w:t>88</w:t>
        </w:r>
      </w:hyperlink>
      <w:r w:rsidRPr="0065505E">
        <w:rPr>
          <w:color w:val="000000"/>
          <w:shd w:val="clear" w:color="auto" w:fill="FFFFFF"/>
        </w:rPr>
        <w:t>,</w:t>
      </w:r>
      <w:hyperlink r:id="rId135" w:anchor="117" w:history="1">
        <w:r w:rsidRPr="0065505E">
          <w:rPr>
            <w:rStyle w:val="Hyperlink"/>
            <w:shd w:val="clear" w:color="auto" w:fill="FFFFFF"/>
          </w:rPr>
          <w:t>117</w:t>
        </w:r>
      </w:hyperlink>
      <w:r w:rsidRPr="0065505E">
        <w:rPr>
          <w:color w:val="000000"/>
          <w:shd w:val="clear" w:color="auto" w:fill="FFFFFF"/>
        </w:rPr>
        <w:t>].</w:t>
      </w:r>
      <w:r>
        <w:rPr>
          <w:color w:val="000000"/>
          <w:shd w:val="clear" w:color="auto" w:fill="FFFFFF"/>
        </w:rPr>
        <w:t>”</w:t>
      </w:r>
    </w:p>
    <w:p w:rsidR="0065505E" w:rsidRPr="0065505E" w:rsidRDefault="0065505E" w:rsidP="0065505E">
      <w:pPr>
        <w:pStyle w:val="ListParagraph"/>
        <w:numPr>
          <w:ilvl w:val="1"/>
          <w:numId w:val="31"/>
        </w:numPr>
        <w:spacing w:after="160" w:line="259" w:lineRule="auto"/>
      </w:pPr>
      <w:r>
        <w:rPr>
          <w:color w:val="000000"/>
          <w:shd w:val="clear" w:color="auto" w:fill="FFFFFF"/>
        </w:rPr>
        <w:t>“</w:t>
      </w:r>
      <w:r w:rsidRPr="0065505E">
        <w:rPr>
          <w:color w:val="000000"/>
          <w:shd w:val="clear" w:color="auto" w:fill="FFFFFF"/>
        </w:rPr>
        <w:t>Deer, elk, and moose may resort to eating fir (</w:t>
      </w:r>
      <w:proofErr w:type="spellStart"/>
      <w:r w:rsidRPr="0065505E">
        <w:rPr>
          <w:i/>
          <w:iCs/>
          <w:color w:val="000000"/>
          <w:shd w:val="clear" w:color="auto" w:fill="FFFFFF"/>
        </w:rPr>
        <w:t>Abies</w:t>
      </w:r>
      <w:proofErr w:type="spellEnd"/>
      <w:r w:rsidRPr="0065505E">
        <w:rPr>
          <w:color w:val="000000"/>
          <w:shd w:val="clear" w:color="auto" w:fill="FFFFFF"/>
        </w:rPr>
        <w:t> spp.) needles in winter [</w:t>
      </w:r>
      <w:hyperlink r:id="rId136" w:anchor="127" w:history="1">
        <w:r w:rsidRPr="0065505E">
          <w:rPr>
            <w:rStyle w:val="Hyperlink"/>
            <w:shd w:val="clear" w:color="auto" w:fill="FFFFFF"/>
          </w:rPr>
          <w:t>127</w:t>
        </w:r>
      </w:hyperlink>
      <w:r w:rsidRPr="0065505E">
        <w:rPr>
          <w:color w:val="000000"/>
          <w:shd w:val="clear" w:color="auto" w:fill="FFFFFF"/>
        </w:rPr>
        <w:t>]. Fir needles are a major part of the diet of blue, ruffed, and sharp-tailed grouse. Squirrels, other rodents, and some birds such as nuthatches and chickadees eat the seeds [</w:t>
      </w:r>
      <w:hyperlink r:id="rId137" w:anchor="127" w:history="1">
        <w:r w:rsidRPr="0065505E">
          <w:rPr>
            <w:rStyle w:val="Hyperlink"/>
            <w:shd w:val="clear" w:color="auto" w:fill="FFFFFF"/>
          </w:rPr>
          <w:t>127</w:t>
        </w:r>
      </w:hyperlink>
      <w:r w:rsidRPr="0065505E">
        <w:rPr>
          <w:color w:val="000000"/>
          <w:shd w:val="clear" w:color="auto" w:fill="FFFFFF"/>
        </w:rPr>
        <w:t>,</w:t>
      </w:r>
      <w:hyperlink r:id="rId138" w:anchor="179" w:history="1">
        <w:r w:rsidRPr="0065505E">
          <w:rPr>
            <w:rStyle w:val="Hyperlink"/>
            <w:shd w:val="clear" w:color="auto" w:fill="FFFFFF"/>
          </w:rPr>
          <w:t>179</w:t>
        </w:r>
      </w:hyperlink>
      <w:r w:rsidRPr="0065505E">
        <w:rPr>
          <w:color w:val="000000"/>
          <w:shd w:val="clear" w:color="auto" w:fill="FFFFFF"/>
        </w:rPr>
        <w:t>].</w:t>
      </w:r>
      <w:r>
        <w:rPr>
          <w:color w:val="000000"/>
          <w:shd w:val="clear" w:color="auto" w:fill="FFFFFF"/>
        </w:rPr>
        <w:t>”</w:t>
      </w:r>
    </w:p>
    <w:p w:rsidR="0065505E" w:rsidRPr="0065505E" w:rsidRDefault="0065505E" w:rsidP="0065505E">
      <w:pPr>
        <w:pStyle w:val="ListParagraph"/>
        <w:numPr>
          <w:ilvl w:val="1"/>
          <w:numId w:val="31"/>
        </w:numPr>
        <w:spacing w:after="160" w:line="259" w:lineRule="auto"/>
      </w:pPr>
      <w:r>
        <w:rPr>
          <w:color w:val="000000"/>
          <w:shd w:val="clear" w:color="auto" w:fill="FFFFFF"/>
        </w:rPr>
        <w:t>“</w:t>
      </w:r>
      <w:r w:rsidRPr="0065505E">
        <w:rPr>
          <w:color w:val="000000"/>
          <w:shd w:val="clear" w:color="auto" w:fill="FFFFFF"/>
        </w:rPr>
        <w:t>Grand fir provides good thermal and hiding cover, often close to water, for big game animals [</w:t>
      </w:r>
      <w:hyperlink r:id="rId139" w:anchor="108" w:history="1">
        <w:r w:rsidRPr="0065505E">
          <w:rPr>
            <w:rStyle w:val="Hyperlink"/>
            <w:shd w:val="clear" w:color="auto" w:fill="FFFFFF"/>
          </w:rPr>
          <w:t>108</w:t>
        </w:r>
      </w:hyperlink>
      <w:r w:rsidRPr="0065505E">
        <w:rPr>
          <w:color w:val="000000"/>
          <w:shd w:val="clear" w:color="auto" w:fill="FFFFFF"/>
        </w:rPr>
        <w:t xml:space="preserve">]. Young trees provide good cover for grouse and small mammals including squirrels, chipmunks, and </w:t>
      </w:r>
      <w:proofErr w:type="spellStart"/>
      <w:r w:rsidRPr="0065505E">
        <w:rPr>
          <w:color w:val="000000"/>
          <w:shd w:val="clear" w:color="auto" w:fill="FFFFFF"/>
        </w:rPr>
        <w:t>pikas</w:t>
      </w:r>
      <w:proofErr w:type="spellEnd"/>
      <w:r w:rsidRPr="0065505E">
        <w:rPr>
          <w:color w:val="000000"/>
          <w:shd w:val="clear" w:color="auto" w:fill="FFFFFF"/>
        </w:rPr>
        <w:t xml:space="preserve"> [</w:t>
      </w:r>
      <w:hyperlink r:id="rId140" w:anchor="127" w:history="1">
        <w:r w:rsidRPr="0065505E">
          <w:rPr>
            <w:rStyle w:val="Hyperlink"/>
            <w:shd w:val="clear" w:color="auto" w:fill="FFFFFF"/>
          </w:rPr>
          <w:t>127</w:t>
        </w:r>
      </w:hyperlink>
      <w:r w:rsidRPr="0065505E">
        <w:rPr>
          <w:color w:val="000000"/>
          <w:shd w:val="clear" w:color="auto" w:fill="FFFFFF"/>
        </w:rPr>
        <w:t>]. Grand fir's thick boughs provide shelter during rainstorms and provide roosting sites for grouse, pileated woodpecker, Williamson's sapsucker, pygmy nuthatch, Vaux's swift, and red crossbill [</w:t>
      </w:r>
      <w:hyperlink r:id="rId141" w:anchor="14" w:history="1">
        <w:r w:rsidRPr="0065505E">
          <w:rPr>
            <w:rStyle w:val="Hyperlink"/>
            <w:shd w:val="clear" w:color="auto" w:fill="FFFFFF"/>
          </w:rPr>
          <w:t>14</w:t>
        </w:r>
      </w:hyperlink>
      <w:r w:rsidRPr="0065505E">
        <w:rPr>
          <w:color w:val="000000"/>
          <w:shd w:val="clear" w:color="auto" w:fill="FFFFFF"/>
        </w:rPr>
        <w:t>,</w:t>
      </w:r>
      <w:hyperlink r:id="rId142" w:anchor="127" w:history="1">
        <w:r w:rsidRPr="0065505E">
          <w:rPr>
            <w:rStyle w:val="Hyperlink"/>
            <w:shd w:val="clear" w:color="auto" w:fill="FFFFFF"/>
          </w:rPr>
          <w:t>127</w:t>
        </w:r>
      </w:hyperlink>
      <w:r w:rsidRPr="0065505E">
        <w:rPr>
          <w:color w:val="000000"/>
          <w:shd w:val="clear" w:color="auto" w:fill="FFFFFF"/>
        </w:rPr>
        <w:t>,</w:t>
      </w:r>
      <w:hyperlink r:id="rId143" w:anchor="27" w:history="1">
        <w:r w:rsidRPr="0065505E">
          <w:rPr>
            <w:rStyle w:val="Hyperlink"/>
            <w:shd w:val="clear" w:color="auto" w:fill="FFFFFF"/>
          </w:rPr>
          <w:t>27</w:t>
        </w:r>
      </w:hyperlink>
      <w:r w:rsidRPr="0065505E">
        <w:rPr>
          <w:color w:val="000000"/>
          <w:shd w:val="clear" w:color="auto" w:fill="FFFFFF"/>
        </w:rPr>
        <w:t>,</w:t>
      </w:r>
      <w:hyperlink r:id="rId144" w:anchor="30" w:history="1">
        <w:r w:rsidRPr="0065505E">
          <w:rPr>
            <w:rStyle w:val="Hyperlink"/>
            <w:shd w:val="clear" w:color="auto" w:fill="FFFFFF"/>
          </w:rPr>
          <w:t>30</w:t>
        </w:r>
      </w:hyperlink>
      <w:r w:rsidRPr="0065505E">
        <w:rPr>
          <w:color w:val="000000"/>
          <w:shd w:val="clear" w:color="auto" w:fill="FFFFFF"/>
        </w:rPr>
        <w:t>]. Lists of bird and mammals that use grand fir in the Blue Mountains are available [</w:t>
      </w:r>
      <w:hyperlink r:id="rId145" w:anchor="180" w:history="1">
        <w:r w:rsidRPr="0065505E">
          <w:rPr>
            <w:rStyle w:val="Hyperlink"/>
            <w:shd w:val="clear" w:color="auto" w:fill="FFFFFF"/>
          </w:rPr>
          <w:t>180</w:t>
        </w:r>
      </w:hyperlink>
      <w:r w:rsidRPr="0065505E">
        <w:rPr>
          <w:color w:val="000000"/>
          <w:shd w:val="clear" w:color="auto" w:fill="FFFFFF"/>
        </w:rPr>
        <w:t>].</w:t>
      </w:r>
      <w:r>
        <w:rPr>
          <w:color w:val="000000"/>
          <w:shd w:val="clear" w:color="auto" w:fill="FFFFFF"/>
        </w:rPr>
        <w:t>”</w:t>
      </w:r>
      <w:r w:rsidRPr="0065505E">
        <w:rPr>
          <w:color w:val="000000"/>
          <w:shd w:val="clear" w:color="auto" w:fill="FFFFFF"/>
        </w:rPr>
        <w:t xml:space="preserve"> </w:t>
      </w:r>
    </w:p>
    <w:p w:rsidR="0065505E" w:rsidRPr="0065505E" w:rsidRDefault="0065505E" w:rsidP="0065505E">
      <w:pPr>
        <w:pStyle w:val="ListParagraph"/>
        <w:numPr>
          <w:ilvl w:val="1"/>
          <w:numId w:val="31"/>
        </w:numPr>
        <w:spacing w:after="160" w:line="259" w:lineRule="auto"/>
      </w:pPr>
      <w:r>
        <w:rPr>
          <w:color w:val="000000"/>
          <w:shd w:val="clear" w:color="auto" w:fill="FFFFFF"/>
        </w:rPr>
        <w:t>“</w:t>
      </w:r>
      <w:r w:rsidRPr="0065505E">
        <w:rPr>
          <w:color w:val="000000"/>
          <w:shd w:val="clear" w:color="auto" w:fill="FFFFFF"/>
        </w:rPr>
        <w:t>Mature grand fir stands are usually floristically diverse [</w:t>
      </w:r>
      <w:hyperlink r:id="rId146" w:anchor="43" w:history="1">
        <w:r w:rsidRPr="0065505E">
          <w:rPr>
            <w:rStyle w:val="Hyperlink"/>
            <w:shd w:val="clear" w:color="auto" w:fill="FFFFFF"/>
          </w:rPr>
          <w:t>43</w:t>
        </w:r>
      </w:hyperlink>
      <w:r w:rsidRPr="0065505E">
        <w:rPr>
          <w:color w:val="000000"/>
          <w:shd w:val="clear" w:color="auto" w:fill="FFFFFF"/>
        </w:rPr>
        <w:t>,</w:t>
      </w:r>
      <w:hyperlink r:id="rId147" w:anchor="71" w:history="1">
        <w:r w:rsidRPr="0065505E">
          <w:rPr>
            <w:rStyle w:val="Hyperlink"/>
            <w:shd w:val="clear" w:color="auto" w:fill="FFFFFF"/>
          </w:rPr>
          <w:t>71</w:t>
        </w:r>
      </w:hyperlink>
      <w:r w:rsidRPr="0065505E">
        <w:rPr>
          <w:color w:val="000000"/>
          <w:shd w:val="clear" w:color="auto" w:fill="FFFFFF"/>
        </w:rPr>
        <w:t>].</w:t>
      </w:r>
      <w:r>
        <w:rPr>
          <w:color w:val="000000"/>
          <w:shd w:val="clear" w:color="auto" w:fill="FFFFFF"/>
        </w:rPr>
        <w:t>”</w:t>
      </w:r>
    </w:p>
    <w:p w:rsidR="0065505E" w:rsidRPr="0065505E" w:rsidRDefault="0065505E" w:rsidP="0065505E">
      <w:pPr>
        <w:pStyle w:val="ListParagraph"/>
        <w:numPr>
          <w:ilvl w:val="1"/>
          <w:numId w:val="31"/>
        </w:numPr>
        <w:spacing w:after="160" w:line="259" w:lineRule="auto"/>
      </w:pPr>
      <w:r>
        <w:rPr>
          <w:color w:val="000000"/>
          <w:shd w:val="clear" w:color="auto" w:fill="FFFFFF"/>
        </w:rPr>
        <w:t>“</w:t>
      </w:r>
      <w:r w:rsidRPr="0065505E">
        <w:rPr>
          <w:color w:val="000000"/>
          <w:shd w:val="clear" w:color="auto" w:fill="FFFFFF"/>
        </w:rPr>
        <w:t>Old-growth live grand fir and grand fir snags provide nesting sites for woodpeckers, sapsuckers, deer mouse, bushy-tailed woodrat, American marten, fisher, spotted skunk, squirrels, and weasels [</w:t>
      </w:r>
      <w:hyperlink r:id="rId148" w:anchor="14" w:history="1">
        <w:r w:rsidRPr="0065505E">
          <w:rPr>
            <w:rStyle w:val="Hyperlink"/>
            <w:shd w:val="clear" w:color="auto" w:fill="FFFFFF"/>
          </w:rPr>
          <w:t>14</w:t>
        </w:r>
      </w:hyperlink>
      <w:r w:rsidRPr="0065505E">
        <w:rPr>
          <w:color w:val="000000"/>
          <w:shd w:val="clear" w:color="auto" w:fill="FFFFFF"/>
        </w:rPr>
        <w:t>,</w:t>
      </w:r>
      <w:hyperlink r:id="rId149" w:anchor="180" w:history="1">
        <w:r w:rsidRPr="0065505E">
          <w:rPr>
            <w:rStyle w:val="Hyperlink"/>
            <w:shd w:val="clear" w:color="auto" w:fill="FFFFFF"/>
          </w:rPr>
          <w:t>180</w:t>
        </w:r>
      </w:hyperlink>
      <w:r w:rsidRPr="0065505E">
        <w:rPr>
          <w:color w:val="000000"/>
          <w:shd w:val="clear" w:color="auto" w:fill="FFFFFF"/>
        </w:rPr>
        <w:t>,</w:t>
      </w:r>
      <w:hyperlink r:id="rId150" w:anchor="182" w:history="1">
        <w:r w:rsidRPr="0065505E">
          <w:rPr>
            <w:rStyle w:val="Hyperlink"/>
            <w:shd w:val="clear" w:color="auto" w:fill="FFFFFF"/>
          </w:rPr>
          <w:t>182</w:t>
        </w:r>
      </w:hyperlink>
      <w:r w:rsidRPr="0065505E">
        <w:rPr>
          <w:color w:val="000000"/>
          <w:shd w:val="clear" w:color="auto" w:fill="FFFFFF"/>
        </w:rPr>
        <w:t>]. Rats, mice, squirrels, weasels, and bears use downed grand fir logs and hollowed trunks as dens [</w:t>
      </w:r>
      <w:hyperlink r:id="rId151" w:anchor="14" w:history="1">
        <w:r w:rsidRPr="0065505E">
          <w:rPr>
            <w:rStyle w:val="Hyperlink"/>
            <w:shd w:val="clear" w:color="auto" w:fill="FFFFFF"/>
          </w:rPr>
          <w:t>14</w:t>
        </w:r>
      </w:hyperlink>
      <w:r w:rsidRPr="0065505E">
        <w:rPr>
          <w:color w:val="000000"/>
          <w:shd w:val="clear" w:color="auto" w:fill="FFFFFF"/>
        </w:rPr>
        <w:t xml:space="preserve">]. Pileated woodpecker and </w:t>
      </w:r>
      <w:proofErr w:type="spellStart"/>
      <w:r w:rsidRPr="0065505E">
        <w:rPr>
          <w:color w:val="000000"/>
          <w:shd w:val="clear" w:color="auto" w:fill="FFFFFF"/>
        </w:rPr>
        <w:t>flammulated</w:t>
      </w:r>
      <w:proofErr w:type="spellEnd"/>
      <w:r w:rsidRPr="0065505E">
        <w:rPr>
          <w:color w:val="000000"/>
          <w:shd w:val="clear" w:color="auto" w:fill="FFFFFF"/>
        </w:rPr>
        <w:t xml:space="preserve"> owl in the Blue Mountains of Oregon and Washington select large-diameter live grand fir, especially trees with broken tops that are extensively decayed by Indian paint fungus (</w:t>
      </w:r>
      <w:proofErr w:type="spellStart"/>
      <w:r w:rsidRPr="0065505E">
        <w:rPr>
          <w:i/>
          <w:iCs/>
          <w:color w:val="000000"/>
          <w:shd w:val="clear" w:color="auto" w:fill="FFFFFF"/>
        </w:rPr>
        <w:t>Echinodontium</w:t>
      </w:r>
      <w:proofErr w:type="spellEnd"/>
      <w:r w:rsidRPr="0065505E">
        <w:rPr>
          <w:i/>
          <w:iCs/>
          <w:color w:val="000000"/>
          <w:shd w:val="clear" w:color="auto" w:fill="FFFFFF"/>
        </w:rPr>
        <w:t xml:space="preserve"> </w:t>
      </w:r>
      <w:proofErr w:type="spellStart"/>
      <w:r w:rsidRPr="0065505E">
        <w:rPr>
          <w:i/>
          <w:iCs/>
          <w:color w:val="000000"/>
          <w:shd w:val="clear" w:color="auto" w:fill="FFFFFF"/>
        </w:rPr>
        <w:t>tinctorium</w:t>
      </w:r>
      <w:proofErr w:type="spellEnd"/>
      <w:r w:rsidRPr="0065505E">
        <w:rPr>
          <w:color w:val="000000"/>
          <w:shd w:val="clear" w:color="auto" w:fill="FFFFFF"/>
        </w:rPr>
        <w:t>), for nesting [</w:t>
      </w:r>
      <w:hyperlink r:id="rId152" w:anchor="2" w:history="1">
        <w:r w:rsidRPr="0065505E">
          <w:rPr>
            <w:rStyle w:val="Hyperlink"/>
            <w:shd w:val="clear" w:color="auto" w:fill="FFFFFF"/>
          </w:rPr>
          <w:t>2</w:t>
        </w:r>
      </w:hyperlink>
      <w:r w:rsidRPr="0065505E">
        <w:rPr>
          <w:color w:val="000000"/>
          <w:shd w:val="clear" w:color="auto" w:fill="FFFFFF"/>
        </w:rPr>
        <w:t>,</w:t>
      </w:r>
      <w:hyperlink r:id="rId153" w:anchor="180" w:history="1">
        <w:r w:rsidRPr="0065505E">
          <w:rPr>
            <w:rStyle w:val="Hyperlink"/>
            <w:shd w:val="clear" w:color="auto" w:fill="FFFFFF"/>
          </w:rPr>
          <w:t>180</w:t>
        </w:r>
      </w:hyperlink>
      <w:r w:rsidRPr="0065505E">
        <w:rPr>
          <w:color w:val="000000"/>
          <w:shd w:val="clear" w:color="auto" w:fill="FFFFFF"/>
        </w:rPr>
        <w:t>,</w:t>
      </w:r>
      <w:hyperlink r:id="rId154" w:anchor="26" w:history="1">
        <w:r w:rsidRPr="0065505E">
          <w:rPr>
            <w:rStyle w:val="Hyperlink"/>
            <w:shd w:val="clear" w:color="auto" w:fill="FFFFFF"/>
          </w:rPr>
          <w:t>26</w:t>
        </w:r>
      </w:hyperlink>
      <w:r w:rsidRPr="0065505E">
        <w:rPr>
          <w:color w:val="000000"/>
          <w:shd w:val="clear" w:color="auto" w:fill="FFFFFF"/>
        </w:rPr>
        <w:t>,</w:t>
      </w:r>
      <w:hyperlink r:id="rId155" w:anchor="31" w:history="1">
        <w:r w:rsidRPr="0065505E">
          <w:rPr>
            <w:rStyle w:val="Hyperlink"/>
            <w:shd w:val="clear" w:color="auto" w:fill="FFFFFF"/>
          </w:rPr>
          <w:t>31</w:t>
        </w:r>
      </w:hyperlink>
      <w:r w:rsidRPr="0065505E">
        <w:rPr>
          <w:color w:val="000000"/>
          <w:shd w:val="clear" w:color="auto" w:fill="FFFFFF"/>
        </w:rPr>
        <w:t>,</w:t>
      </w:r>
      <w:hyperlink r:id="rId156" w:anchor="32" w:history="1">
        <w:r w:rsidRPr="0065505E">
          <w:rPr>
            <w:rStyle w:val="Hyperlink"/>
            <w:shd w:val="clear" w:color="auto" w:fill="FFFFFF"/>
          </w:rPr>
          <w:t>32</w:t>
        </w:r>
      </w:hyperlink>
      <w:r w:rsidRPr="0065505E">
        <w:rPr>
          <w:color w:val="000000"/>
          <w:shd w:val="clear" w:color="auto" w:fill="FFFFFF"/>
        </w:rPr>
        <w:t>].</w:t>
      </w:r>
      <w:r>
        <w:rPr>
          <w:color w:val="000000"/>
          <w:shd w:val="clear" w:color="auto" w:fill="FFFFFF"/>
        </w:rPr>
        <w:t>”</w:t>
      </w:r>
    </w:p>
    <w:p w:rsidR="0065505E" w:rsidRPr="0065505E" w:rsidRDefault="0065505E" w:rsidP="0065505E">
      <w:pPr>
        <w:pStyle w:val="ListParagraph"/>
        <w:numPr>
          <w:ilvl w:val="1"/>
          <w:numId w:val="31"/>
        </w:numPr>
        <w:spacing w:after="160" w:line="259" w:lineRule="auto"/>
      </w:pPr>
      <w:r>
        <w:rPr>
          <w:color w:val="000000"/>
          <w:shd w:val="clear" w:color="auto" w:fill="FFFFFF"/>
        </w:rPr>
        <w:t>“</w:t>
      </w:r>
      <w:r w:rsidRPr="0065505E">
        <w:rPr>
          <w:color w:val="000000"/>
          <w:shd w:val="clear" w:color="auto" w:fill="FFFFFF"/>
        </w:rPr>
        <w:t>the bark is thick enough at maturity (about 2 inches (5 cm)) to provide resistance to low- and moderate-severity fires [</w:t>
      </w:r>
      <w:hyperlink r:id="rId157" w:anchor="3" w:history="1">
        <w:r w:rsidRPr="0065505E">
          <w:rPr>
            <w:rStyle w:val="Hyperlink"/>
            <w:shd w:val="clear" w:color="auto" w:fill="FFFFFF"/>
          </w:rPr>
          <w:t>3</w:t>
        </w:r>
      </w:hyperlink>
      <w:r w:rsidRPr="0065505E">
        <w:rPr>
          <w:color w:val="000000"/>
          <w:shd w:val="clear" w:color="auto" w:fill="FFFFFF"/>
        </w:rPr>
        <w:t>,</w:t>
      </w:r>
      <w:hyperlink r:id="rId158" w:anchor="169" w:history="1">
        <w:r w:rsidRPr="0065505E">
          <w:rPr>
            <w:rStyle w:val="Hyperlink"/>
            <w:shd w:val="clear" w:color="auto" w:fill="FFFFFF"/>
          </w:rPr>
          <w:t>169</w:t>
        </w:r>
      </w:hyperlink>
      <w:r w:rsidRPr="0065505E">
        <w:rPr>
          <w:color w:val="000000"/>
          <w:shd w:val="clear" w:color="auto" w:fill="FFFFFF"/>
        </w:rPr>
        <w:t>,</w:t>
      </w:r>
      <w:hyperlink r:id="rId159" w:anchor="44" w:history="1">
        <w:r w:rsidRPr="0065505E">
          <w:rPr>
            <w:rStyle w:val="Hyperlink"/>
            <w:shd w:val="clear" w:color="auto" w:fill="FFFFFF"/>
          </w:rPr>
          <w:t>44</w:t>
        </w:r>
      </w:hyperlink>
      <w:r w:rsidRPr="0065505E">
        <w:rPr>
          <w:color w:val="000000"/>
          <w:shd w:val="clear" w:color="auto" w:fill="FFFFFF"/>
        </w:rPr>
        <w:t>,</w:t>
      </w:r>
      <w:hyperlink r:id="rId160" w:anchor="50" w:history="1">
        <w:r w:rsidRPr="0065505E">
          <w:rPr>
            <w:rStyle w:val="Hyperlink"/>
            <w:shd w:val="clear" w:color="auto" w:fill="FFFFFF"/>
          </w:rPr>
          <w:t>50</w:t>
        </w:r>
      </w:hyperlink>
      <w:r w:rsidRPr="0065505E">
        <w:rPr>
          <w:color w:val="000000"/>
          <w:shd w:val="clear" w:color="auto" w:fill="FFFFFF"/>
        </w:rPr>
        <w:t>,</w:t>
      </w:r>
      <w:hyperlink r:id="rId161" w:anchor="69" w:history="1">
        <w:r w:rsidRPr="0065505E">
          <w:rPr>
            <w:rStyle w:val="Hyperlink"/>
            <w:shd w:val="clear" w:color="auto" w:fill="FFFFFF"/>
          </w:rPr>
          <w:t>69</w:t>
        </w:r>
      </w:hyperlink>
      <w:r w:rsidRPr="0065505E">
        <w:rPr>
          <w:color w:val="000000"/>
          <w:shd w:val="clear" w:color="auto" w:fill="FFFFFF"/>
        </w:rPr>
        <w:t>,</w:t>
      </w:r>
      <w:hyperlink r:id="rId162" w:anchor="89" w:history="1">
        <w:r w:rsidRPr="0065505E">
          <w:rPr>
            <w:rStyle w:val="Hyperlink"/>
            <w:shd w:val="clear" w:color="auto" w:fill="FFFFFF"/>
          </w:rPr>
          <w:t>89</w:t>
        </w:r>
      </w:hyperlink>
      <w:r w:rsidRPr="0065505E">
        <w:rPr>
          <w:color w:val="000000"/>
          <w:shd w:val="clear" w:color="auto" w:fill="FFFFFF"/>
        </w:rPr>
        <w:t>,</w:t>
      </w:r>
      <w:hyperlink r:id="rId163" w:anchor="92" w:history="1">
        <w:r w:rsidRPr="0065505E">
          <w:rPr>
            <w:rStyle w:val="Hyperlink"/>
            <w:shd w:val="clear" w:color="auto" w:fill="FFFFFF"/>
          </w:rPr>
          <w:t>92</w:t>
        </w:r>
      </w:hyperlink>
      <w:r w:rsidRPr="0065505E">
        <w:rPr>
          <w:color w:val="000000"/>
          <w:shd w:val="clear" w:color="auto" w:fill="FFFFFF"/>
        </w:rPr>
        <w:t>].”</w:t>
      </w:r>
    </w:p>
    <w:p w:rsidR="0065505E" w:rsidRPr="00090566" w:rsidRDefault="0065505E" w:rsidP="0065505E">
      <w:pPr>
        <w:pStyle w:val="ListParagraph"/>
        <w:numPr>
          <w:ilvl w:val="0"/>
          <w:numId w:val="31"/>
        </w:numPr>
        <w:spacing w:after="160" w:line="259" w:lineRule="auto"/>
      </w:pPr>
      <w:r w:rsidRPr="00090566">
        <w:t xml:space="preserve">Baker, M. D., &amp; </w:t>
      </w:r>
      <w:proofErr w:type="spellStart"/>
      <w:r w:rsidRPr="00090566">
        <w:t>Lacki</w:t>
      </w:r>
      <w:proofErr w:type="spellEnd"/>
      <w:r w:rsidRPr="00090566">
        <w:t xml:space="preserve">, M. J. (2006). Day-Roosting Habitat of Female Long-Legged </w:t>
      </w:r>
      <w:proofErr w:type="spellStart"/>
      <w:r w:rsidRPr="00090566">
        <w:t>Myotis</w:t>
      </w:r>
      <w:proofErr w:type="spellEnd"/>
      <w:r w:rsidRPr="00090566">
        <w:t xml:space="preserve"> in Ponderosa Pine Forests. </w:t>
      </w:r>
      <w:r w:rsidRPr="0065505E">
        <w:rPr>
          <w:i/>
          <w:iCs/>
        </w:rPr>
        <w:t>Journal of Wildlife Management</w:t>
      </w:r>
      <w:r w:rsidRPr="00090566">
        <w:t xml:space="preserve">, 70(1), 207–215. </w:t>
      </w:r>
      <w:hyperlink r:id="rId164" w:history="1">
        <w:r w:rsidRPr="00090566">
          <w:rPr>
            <w:rStyle w:val="Hyperlink"/>
          </w:rPr>
          <w:t>https://doi.org/10.2193/0022-541X(2006)70[207:DHOFLM]2.0.CO;2</w:t>
        </w:r>
      </w:hyperlink>
    </w:p>
    <w:p w:rsidR="0065505E" w:rsidRPr="00090566" w:rsidRDefault="0065505E" w:rsidP="0065505E">
      <w:pPr>
        <w:pStyle w:val="ListParagraph"/>
        <w:numPr>
          <w:ilvl w:val="0"/>
          <w:numId w:val="34"/>
        </w:numPr>
        <w:spacing w:after="160" w:line="259" w:lineRule="auto"/>
      </w:pPr>
      <w:r w:rsidRPr="00090566">
        <w:t>“</w:t>
      </w:r>
      <w:r>
        <w:t>Most snag roos</w:t>
      </w:r>
      <w:r w:rsidRPr="00090566">
        <w:t>ts were thick-bark ponderosa pine (n = 103; 52.8%) or thin-bark grand fir (</w:t>
      </w:r>
      <w:proofErr w:type="spellStart"/>
      <w:r w:rsidRPr="005F760E">
        <w:rPr>
          <w:bCs/>
        </w:rPr>
        <w:t>Abies</w:t>
      </w:r>
      <w:proofErr w:type="spellEnd"/>
      <w:r w:rsidRPr="005F760E">
        <w:rPr>
          <w:bCs/>
        </w:rPr>
        <w:t xml:space="preserve"> </w:t>
      </w:r>
      <w:proofErr w:type="spellStart"/>
      <w:r w:rsidRPr="005F760E">
        <w:rPr>
          <w:bCs/>
        </w:rPr>
        <w:t>grandis</w:t>
      </w:r>
      <w:proofErr w:type="spellEnd"/>
      <w:r w:rsidRPr="005F760E">
        <w:t>) and white fir (</w:t>
      </w:r>
      <w:proofErr w:type="spellStart"/>
      <w:r w:rsidRPr="005F760E">
        <w:rPr>
          <w:bCs/>
        </w:rPr>
        <w:t>Abies</w:t>
      </w:r>
      <w:proofErr w:type="spellEnd"/>
      <w:r w:rsidRPr="00090566">
        <w:t> </w:t>
      </w:r>
      <w:proofErr w:type="spellStart"/>
      <w:r w:rsidRPr="00090566">
        <w:t>concolor</w:t>
      </w:r>
      <w:proofErr w:type="spellEnd"/>
      <w:r w:rsidRPr="00090566">
        <w:t>) (n = 74; 37.9%)”</w:t>
      </w:r>
    </w:p>
    <w:p w:rsidR="0065505E" w:rsidRPr="00090566" w:rsidRDefault="0065505E" w:rsidP="0065505E">
      <w:pPr>
        <w:pStyle w:val="ListParagraph"/>
        <w:numPr>
          <w:ilvl w:val="0"/>
          <w:numId w:val="32"/>
        </w:numPr>
        <w:spacing w:after="160" w:line="259" w:lineRule="auto"/>
      </w:pPr>
      <w:r w:rsidRPr="00090566">
        <w:t xml:space="preserve">“We recommend that management of forests for sustaining habitat of female long-legged </w:t>
      </w:r>
      <w:proofErr w:type="spellStart"/>
      <w:r w:rsidRPr="00090566">
        <w:t>myotis</w:t>
      </w:r>
      <w:proofErr w:type="spellEnd"/>
      <w:r w:rsidRPr="00090566">
        <w:t xml:space="preserve"> in the east Cascades ensure the continued availability of both thick- and thin-bark snags in early stages of decay, in b</w:t>
      </w:r>
      <w:r>
        <w:t>o</w:t>
      </w:r>
      <w:r w:rsidRPr="00090566">
        <w:t>th riparian and upslope positions.”</w:t>
      </w:r>
    </w:p>
    <w:p w:rsidR="0065505E" w:rsidRPr="00090566" w:rsidRDefault="0065505E" w:rsidP="0065505E">
      <w:pPr>
        <w:pStyle w:val="ListParagraph"/>
        <w:numPr>
          <w:ilvl w:val="0"/>
          <w:numId w:val="32"/>
        </w:numPr>
        <w:spacing w:after="160" w:line="259" w:lineRule="auto"/>
      </w:pPr>
      <w:r w:rsidRPr="00090566">
        <w:t xml:space="preserve">“Both male and </w:t>
      </w:r>
      <w:proofErr w:type="spellStart"/>
      <w:r w:rsidRPr="00090566">
        <w:t>nonreproductive</w:t>
      </w:r>
      <w:proofErr w:type="spellEnd"/>
      <w:r w:rsidRPr="00090566">
        <w:t xml:space="preserve"> female long-legged </w:t>
      </w:r>
      <w:proofErr w:type="spellStart"/>
      <w:r w:rsidRPr="00090566">
        <w:t>myotis</w:t>
      </w:r>
      <w:proofErr w:type="spellEnd"/>
      <w:r w:rsidRPr="00090566">
        <w:t xml:space="preserve"> primarily used grand fir (</w:t>
      </w:r>
      <w:proofErr w:type="spellStart"/>
      <w:r w:rsidRPr="00090566">
        <w:t>Abies</w:t>
      </w:r>
      <w:proofErr w:type="spellEnd"/>
      <w:r w:rsidRPr="00090566">
        <w:t xml:space="preserve"> </w:t>
      </w:r>
      <w:proofErr w:type="spellStart"/>
      <w:r w:rsidRPr="00090566">
        <w:t>grandis</w:t>
      </w:r>
      <w:proofErr w:type="spellEnd"/>
      <w:r w:rsidRPr="00090566">
        <w:t>) snags as day roosts in dry forests dominated by ponderosa pine, grand fir, and Douglas-fir (</w:t>
      </w:r>
      <w:proofErr w:type="spellStart"/>
      <w:r w:rsidRPr="00090566">
        <w:t>Pseudotsuga</w:t>
      </w:r>
      <w:proofErr w:type="spellEnd"/>
      <w:r w:rsidRPr="00090566">
        <w:t xml:space="preserve"> </w:t>
      </w:r>
      <w:proofErr w:type="spellStart"/>
      <w:r w:rsidRPr="00090566">
        <w:t>menziesii</w:t>
      </w:r>
      <w:proofErr w:type="spellEnd"/>
      <w:r w:rsidRPr="00090566">
        <w:t>) in central Washington (Frazier 1997, Taylor 1999). In mesic forests dominated by Douglas-fir and western hemlock (</w:t>
      </w:r>
      <w:proofErr w:type="spellStart"/>
      <w:r w:rsidRPr="00090566">
        <w:t>Tsuga</w:t>
      </w:r>
      <w:proofErr w:type="spellEnd"/>
      <w:r w:rsidRPr="00090566">
        <w:t xml:space="preserve"> </w:t>
      </w:r>
      <w:proofErr w:type="spellStart"/>
      <w:r w:rsidRPr="00090566">
        <w:t>heterophylla</w:t>
      </w:r>
      <w:proofErr w:type="spellEnd"/>
      <w:r w:rsidRPr="00090566">
        <w:t xml:space="preserve">) in the central Oregon Cascades, reproductive female long-legged </w:t>
      </w:r>
      <w:proofErr w:type="spellStart"/>
      <w:r w:rsidRPr="00090566">
        <w:t>myotis</w:t>
      </w:r>
      <w:proofErr w:type="spellEnd"/>
      <w:r w:rsidRPr="00090566">
        <w:t xml:space="preserve"> primarily used Douglas-fir snags as day roosts (</w:t>
      </w:r>
      <w:proofErr w:type="spellStart"/>
      <w:r w:rsidRPr="00090566">
        <w:t>Ormsbee</w:t>
      </w:r>
      <w:proofErr w:type="spellEnd"/>
      <w:r w:rsidRPr="00090566">
        <w:t xml:space="preserve"> and </w:t>
      </w:r>
      <w:proofErr w:type="spellStart"/>
      <w:r w:rsidRPr="00090566">
        <w:t>McComb</w:t>
      </w:r>
      <w:proofErr w:type="spellEnd"/>
      <w:r w:rsidRPr="00090566">
        <w:t xml:space="preserve"> 1998).”</w:t>
      </w:r>
    </w:p>
    <w:p w:rsidR="0065505E" w:rsidRPr="00090566" w:rsidRDefault="0065505E" w:rsidP="0065505E">
      <w:pPr>
        <w:pStyle w:val="ListParagraph"/>
        <w:numPr>
          <w:ilvl w:val="0"/>
          <w:numId w:val="32"/>
        </w:numPr>
        <w:spacing w:after="160" w:line="259" w:lineRule="auto"/>
      </w:pPr>
      <w:r w:rsidRPr="00090566">
        <w:t xml:space="preserve">“We found grand fir and white fir to be the most frequently used day-roosting structures for solitary females in Washington and Oregon. Use of </w:t>
      </w:r>
      <w:proofErr w:type="spellStart"/>
      <w:r w:rsidRPr="00090566">
        <w:t>Abies</w:t>
      </w:r>
      <w:proofErr w:type="spellEnd"/>
      <w:r w:rsidRPr="00090566">
        <w:t xml:space="preserve"> spp. snags as day-roosts by both male and female long-legged </w:t>
      </w:r>
      <w:proofErr w:type="spellStart"/>
      <w:r w:rsidRPr="00090566">
        <w:t>myotis</w:t>
      </w:r>
      <w:proofErr w:type="spellEnd"/>
      <w:r w:rsidRPr="00090566">
        <w:t xml:space="preserve"> has been observed in east-central Washington (Frazier 1997) and in south-central Washington (Taylor 1999). </w:t>
      </w:r>
      <w:r w:rsidRPr="00090566">
        <w:lastRenderedPageBreak/>
        <w:t xml:space="preserve">The extensive use (37.9% of all snag roosts) of snags of </w:t>
      </w:r>
      <w:proofErr w:type="spellStart"/>
      <w:r w:rsidRPr="00090566">
        <w:t>Abies</w:t>
      </w:r>
      <w:proofErr w:type="spellEnd"/>
      <w:r w:rsidRPr="00090566">
        <w:t xml:space="preserve"> spp. as day-roosts by long-legged </w:t>
      </w:r>
      <w:proofErr w:type="spellStart"/>
      <w:r w:rsidRPr="00090566">
        <w:t>myotis</w:t>
      </w:r>
      <w:proofErr w:type="spellEnd"/>
      <w:r w:rsidRPr="00090566">
        <w:t xml:space="preserve">, suggests their importance to the roosting ecology of long-legged </w:t>
      </w:r>
      <w:proofErr w:type="spellStart"/>
      <w:r w:rsidRPr="00090566">
        <w:t>myotis</w:t>
      </w:r>
      <w:proofErr w:type="spellEnd"/>
      <w:r w:rsidRPr="00090566">
        <w:t xml:space="preserve"> in forests on the east side of the Cascade Range.”</w:t>
      </w:r>
    </w:p>
    <w:p w:rsidR="0065505E" w:rsidRPr="00090566" w:rsidRDefault="0065505E" w:rsidP="0065505E">
      <w:pPr>
        <w:pStyle w:val="ListParagraph"/>
        <w:numPr>
          <w:ilvl w:val="0"/>
          <w:numId w:val="31"/>
        </w:numPr>
        <w:spacing w:after="160" w:line="259" w:lineRule="auto"/>
      </w:pPr>
      <w:proofErr w:type="spellStart"/>
      <w:r w:rsidRPr="00090566">
        <w:t>Sallabanks</w:t>
      </w:r>
      <w:proofErr w:type="spellEnd"/>
      <w:r w:rsidRPr="00090566">
        <w:t>, R., Riggs, R. A., Cobb, L. E., &amp; Dodson, S. W. (2006). Bird-habitat relationships in grand fir forests of the Blue Mountains, Oregon</w:t>
      </w:r>
      <w:r w:rsidRPr="00090566">
        <w:rPr>
          <w:i/>
          <w:iCs/>
        </w:rPr>
        <w:t>. Forest Science</w:t>
      </w:r>
      <w:r w:rsidRPr="00090566">
        <w:t xml:space="preserve">, 52(5), 489-502. Retrieved from </w:t>
      </w:r>
      <w:hyperlink r:id="rId165" w:history="1">
        <w:r w:rsidRPr="008D1F4C">
          <w:rPr>
            <w:rStyle w:val="Hyperlink"/>
          </w:rPr>
          <w:t>https://173.45.252.177/docview/197680689?accountid=8021</w:t>
        </w:r>
      </w:hyperlink>
      <w:r>
        <w:t xml:space="preserve"> </w:t>
      </w:r>
    </w:p>
    <w:p w:rsidR="0065505E" w:rsidRPr="00090566" w:rsidRDefault="0065505E" w:rsidP="0065505E">
      <w:pPr>
        <w:pStyle w:val="ListParagraph"/>
        <w:numPr>
          <w:ilvl w:val="0"/>
          <w:numId w:val="33"/>
        </w:numPr>
        <w:spacing w:after="160" w:line="259" w:lineRule="auto"/>
      </w:pPr>
      <w:r w:rsidRPr="00090566">
        <w:t>“</w:t>
      </w:r>
      <w:proofErr w:type="spellStart"/>
      <w:r w:rsidRPr="00090566">
        <w:t>Mannan</w:t>
      </w:r>
      <w:proofErr w:type="spellEnd"/>
      <w:r w:rsidRPr="00090566">
        <w:t xml:space="preserve"> and </w:t>
      </w:r>
      <w:proofErr w:type="spellStart"/>
      <w:r w:rsidRPr="00090566">
        <w:t>Meslow</w:t>
      </w:r>
      <w:proofErr w:type="spellEnd"/>
      <w:r w:rsidRPr="00090566">
        <w:t xml:space="preserve"> (1984) also reported that Townsend's warbler nested in sites that had high canopy volumes of grand fir and Douglas-fir, and that canopy volume of grand fir was the most important attribute separating nest sites from random sites”</w:t>
      </w:r>
    </w:p>
    <w:p w:rsidR="0065505E" w:rsidRPr="00090566" w:rsidRDefault="0065505E" w:rsidP="0065505E">
      <w:pPr>
        <w:pStyle w:val="ListParagraph"/>
        <w:numPr>
          <w:ilvl w:val="0"/>
          <w:numId w:val="33"/>
        </w:numPr>
        <w:spacing w:after="160" w:line="259" w:lineRule="auto"/>
      </w:pPr>
      <w:r w:rsidRPr="00090566">
        <w:t>“</w:t>
      </w:r>
      <w:proofErr w:type="spellStart"/>
      <w:r w:rsidRPr="00090566">
        <w:t>Mannan</w:t>
      </w:r>
      <w:proofErr w:type="spellEnd"/>
      <w:r w:rsidRPr="00090566">
        <w:t xml:space="preserve"> and </w:t>
      </w:r>
      <w:proofErr w:type="spellStart"/>
      <w:r w:rsidRPr="00090566">
        <w:t>Meslow</w:t>
      </w:r>
      <w:proofErr w:type="spellEnd"/>
      <w:r w:rsidRPr="00090566">
        <w:t xml:space="preserve"> (1984) found the golden-crowned kinglet to be more abundant in old-growth grand fir stands (&gt;200 years old) than in younger managed stands (70-100 years old) in the Blue Mountains.”</w:t>
      </w:r>
    </w:p>
    <w:p w:rsidR="0065505E" w:rsidRPr="0065505E" w:rsidRDefault="0065505E" w:rsidP="005F760E">
      <w:pPr>
        <w:pStyle w:val="ListParagraph"/>
        <w:numPr>
          <w:ilvl w:val="0"/>
          <w:numId w:val="31"/>
        </w:numPr>
      </w:pPr>
      <w:proofErr w:type="spellStart"/>
      <w:r w:rsidRPr="00090566">
        <w:t>Mannan</w:t>
      </w:r>
      <w:proofErr w:type="spellEnd"/>
      <w:r w:rsidRPr="00090566">
        <w:t xml:space="preserve">, R.W. (1982). </w:t>
      </w:r>
      <w:hyperlink r:id="rId166" w:history="1">
        <w:r w:rsidRPr="00090566">
          <w:t>Bird populations and vegetation characteristics in managed and old-growth forests, northeastern Oregon</w:t>
        </w:r>
      </w:hyperlink>
      <w:r w:rsidRPr="00090566">
        <w:t xml:space="preserve">. </w:t>
      </w:r>
      <w:proofErr w:type="spellStart"/>
      <w:r w:rsidRPr="00090566">
        <w:t>Ph.D</w:t>
      </w:r>
      <w:proofErr w:type="spellEnd"/>
      <w:r w:rsidRPr="00090566">
        <w:t xml:space="preserve"> Thesis. Oregon State University. </w:t>
      </w:r>
    </w:p>
    <w:p w:rsidR="0065505E" w:rsidRPr="00090566" w:rsidRDefault="0065505E" w:rsidP="0065505E">
      <w:pPr>
        <w:pStyle w:val="ListParagraph"/>
        <w:numPr>
          <w:ilvl w:val="0"/>
          <w:numId w:val="35"/>
        </w:numPr>
        <w:spacing w:after="160" w:line="259" w:lineRule="auto"/>
      </w:pPr>
      <w:r w:rsidRPr="00090566">
        <w:t xml:space="preserve"> “Townsend's warblers foraged most frequently, and to a greater extent than expected in grand fir trees”</w:t>
      </w:r>
    </w:p>
    <w:p w:rsidR="0065505E" w:rsidRPr="00090566" w:rsidRDefault="0065505E" w:rsidP="0065505E">
      <w:pPr>
        <w:pStyle w:val="ListParagraph"/>
        <w:numPr>
          <w:ilvl w:val="0"/>
          <w:numId w:val="35"/>
        </w:numPr>
        <w:spacing w:after="160" w:line="259" w:lineRule="auto"/>
      </w:pPr>
      <w:r w:rsidRPr="00090566">
        <w:t>“Townsend's warblers generally nested in sites that had high canopy volumes of grand fir and Douglas-fir”</w:t>
      </w:r>
    </w:p>
    <w:p w:rsidR="0065505E" w:rsidRPr="00090566" w:rsidRDefault="0065505E" w:rsidP="0065505E">
      <w:pPr>
        <w:pStyle w:val="ListParagraph"/>
        <w:numPr>
          <w:ilvl w:val="0"/>
          <w:numId w:val="35"/>
        </w:numPr>
        <w:spacing w:after="160" w:line="259" w:lineRule="auto"/>
      </w:pPr>
      <w:r w:rsidRPr="00090566">
        <w:t>“We attribute the low abundance of Townsend's warblers and golden-crowned kinglets in managed stands to the near absence of grand fir trees. We suspect that both species of birds were selecting specifically for grand fir trees”</w:t>
      </w:r>
    </w:p>
    <w:p w:rsidR="0065505E" w:rsidRPr="0065505E" w:rsidRDefault="0065505E" w:rsidP="0065505E">
      <w:pPr>
        <w:pStyle w:val="ListParagraph"/>
        <w:numPr>
          <w:ilvl w:val="0"/>
          <w:numId w:val="31"/>
        </w:numPr>
        <w:rPr>
          <w:u w:val="single"/>
        </w:rPr>
      </w:pPr>
      <w:proofErr w:type="spellStart"/>
      <w:r w:rsidRPr="0065505E">
        <w:rPr>
          <w:color w:val="000000"/>
          <w:shd w:val="clear" w:color="auto" w:fill="FFFFFF"/>
        </w:rPr>
        <w:t>Zouhar</w:t>
      </w:r>
      <w:proofErr w:type="spellEnd"/>
      <w:r w:rsidRPr="0065505E">
        <w:rPr>
          <w:color w:val="000000"/>
          <w:shd w:val="clear" w:color="auto" w:fill="FFFFFF"/>
        </w:rPr>
        <w:t xml:space="preserve">, Kris. 2001. </w:t>
      </w:r>
      <w:proofErr w:type="spellStart"/>
      <w:r w:rsidRPr="0065505E">
        <w:rPr>
          <w:i/>
          <w:iCs/>
          <w:color w:val="000000"/>
          <w:shd w:val="clear" w:color="auto" w:fill="FFFFFF"/>
        </w:rPr>
        <w:t>Abies</w:t>
      </w:r>
      <w:proofErr w:type="spellEnd"/>
      <w:r w:rsidRPr="0065505E">
        <w:rPr>
          <w:i/>
          <w:iCs/>
          <w:color w:val="000000"/>
          <w:shd w:val="clear" w:color="auto" w:fill="FFFFFF"/>
        </w:rPr>
        <w:t xml:space="preserve"> </w:t>
      </w:r>
      <w:proofErr w:type="spellStart"/>
      <w:r w:rsidRPr="0065505E">
        <w:rPr>
          <w:i/>
          <w:iCs/>
          <w:color w:val="000000"/>
          <w:shd w:val="clear" w:color="auto" w:fill="FFFFFF"/>
        </w:rPr>
        <w:t>concolor</w:t>
      </w:r>
      <w:proofErr w:type="spellEnd"/>
      <w:r w:rsidRPr="0065505E">
        <w:rPr>
          <w:color w:val="000000"/>
          <w:shd w:val="clear" w:color="auto" w:fill="FFFFFF"/>
        </w:rPr>
        <w:t xml:space="preserve">. In: Fire Effects Information System, [Online]. U.S. Department of Agriculture, Forest Service, Rocky Mountain Research Station, Fire Sciences Laboratory (Producer). Available: </w:t>
      </w:r>
      <w:hyperlink r:id="rId167" w:history="1">
        <w:r w:rsidRPr="0065505E">
          <w:rPr>
            <w:rStyle w:val="Hyperlink"/>
            <w:shd w:val="clear" w:color="auto" w:fill="FFFFFF"/>
          </w:rPr>
          <w:t>https://www.fs.fed.us/database/feis/plants/tree/abicon/all.html</w:t>
        </w:r>
      </w:hyperlink>
      <w:r w:rsidRPr="0065505E">
        <w:rPr>
          <w:color w:val="000000"/>
          <w:shd w:val="clear" w:color="auto" w:fill="FFFFFF"/>
        </w:rPr>
        <w:t xml:space="preserve">  [2020, October 11].</w:t>
      </w:r>
    </w:p>
    <w:p w:rsidR="0065505E" w:rsidRPr="00090566" w:rsidRDefault="0065505E" w:rsidP="0065505E">
      <w:pPr>
        <w:pStyle w:val="ListParagraph"/>
        <w:numPr>
          <w:ilvl w:val="0"/>
          <w:numId w:val="36"/>
        </w:numPr>
        <w:spacing w:after="120" w:line="259" w:lineRule="auto"/>
        <w:rPr>
          <w:color w:val="000000"/>
          <w:shd w:val="clear" w:color="auto" w:fill="FFFFFF"/>
        </w:rPr>
      </w:pPr>
      <w:r w:rsidRPr="00090566">
        <w:rPr>
          <w:color w:val="000000"/>
          <w:shd w:val="clear" w:color="auto" w:fill="FFFFFF"/>
        </w:rPr>
        <w:t xml:space="preserve"> “These forests do, however, provide abundant browse and cover for large and small wildlife species [</w:t>
      </w:r>
      <w:hyperlink r:id="rId168" w:anchor="83" w:history="1">
        <w:r w:rsidRPr="00090566">
          <w:rPr>
            <w:rStyle w:val="Hyperlink"/>
            <w:shd w:val="clear" w:color="auto" w:fill="FFFFFF"/>
          </w:rPr>
          <w:t>83</w:t>
        </w:r>
      </w:hyperlink>
      <w:r w:rsidRPr="00090566">
        <w:rPr>
          <w:color w:val="000000"/>
          <w:shd w:val="clear" w:color="auto" w:fill="FFFFFF"/>
        </w:rPr>
        <w:t>,</w:t>
      </w:r>
      <w:hyperlink r:id="rId169" w:anchor="295" w:history="1">
        <w:r w:rsidRPr="00090566">
          <w:rPr>
            <w:rStyle w:val="Hyperlink"/>
            <w:shd w:val="clear" w:color="auto" w:fill="FFFFFF"/>
          </w:rPr>
          <w:t>295</w:t>
        </w:r>
      </w:hyperlink>
      <w:r w:rsidRPr="00090566">
        <w:rPr>
          <w:color w:val="000000"/>
          <w:shd w:val="clear" w:color="auto" w:fill="FFFFFF"/>
        </w:rPr>
        <w:t>]. Deer, elk, and bear often use white fir habitats as either summer or winter range [</w:t>
      </w:r>
      <w:hyperlink r:id="rId170" w:anchor="2" w:history="1">
        <w:r w:rsidRPr="00090566">
          <w:rPr>
            <w:rStyle w:val="Hyperlink"/>
            <w:shd w:val="clear" w:color="auto" w:fill="FFFFFF"/>
          </w:rPr>
          <w:t>2</w:t>
        </w:r>
      </w:hyperlink>
      <w:r w:rsidRPr="00090566">
        <w:rPr>
          <w:color w:val="000000"/>
          <w:shd w:val="clear" w:color="auto" w:fill="FFFFFF"/>
        </w:rPr>
        <w:t>,</w:t>
      </w:r>
      <w:hyperlink r:id="rId171" w:anchor="189" w:history="1">
        <w:r w:rsidRPr="00090566">
          <w:rPr>
            <w:rStyle w:val="Hyperlink"/>
            <w:shd w:val="clear" w:color="auto" w:fill="FFFFFF"/>
          </w:rPr>
          <w:t>189</w:t>
        </w:r>
      </w:hyperlink>
      <w:r w:rsidRPr="00090566">
        <w:rPr>
          <w:color w:val="000000"/>
          <w:shd w:val="clear" w:color="auto" w:fill="FFFFFF"/>
        </w:rPr>
        <w:t>]. Mule and black-tailed deer generally eat small amounts of white fir during the spring, fall, and winter, and sometimes larger amounts during the summer [</w:t>
      </w:r>
      <w:hyperlink r:id="rId172" w:anchor="152" w:history="1">
        <w:r w:rsidRPr="00090566">
          <w:rPr>
            <w:rStyle w:val="Hyperlink"/>
            <w:shd w:val="clear" w:color="auto" w:fill="FFFFFF"/>
          </w:rPr>
          <w:t>152</w:t>
        </w:r>
      </w:hyperlink>
      <w:r w:rsidRPr="00090566">
        <w:rPr>
          <w:color w:val="000000"/>
          <w:shd w:val="clear" w:color="auto" w:fill="FFFFFF"/>
        </w:rPr>
        <w:t>,</w:t>
      </w:r>
      <w:hyperlink r:id="rId173" w:anchor="177" w:history="1">
        <w:r w:rsidRPr="00090566">
          <w:rPr>
            <w:rStyle w:val="Hyperlink"/>
            <w:shd w:val="clear" w:color="auto" w:fill="FFFFFF"/>
          </w:rPr>
          <w:t>177</w:t>
        </w:r>
      </w:hyperlink>
      <w:r w:rsidRPr="00090566">
        <w:rPr>
          <w:color w:val="000000"/>
          <w:shd w:val="clear" w:color="auto" w:fill="FFFFFF"/>
        </w:rPr>
        <w:t>,</w:t>
      </w:r>
      <w:hyperlink r:id="rId174" w:anchor="189" w:history="1">
        <w:r w:rsidRPr="00090566">
          <w:rPr>
            <w:rStyle w:val="Hyperlink"/>
            <w:shd w:val="clear" w:color="auto" w:fill="FFFFFF"/>
          </w:rPr>
          <w:t>189</w:t>
        </w:r>
      </w:hyperlink>
      <w:r w:rsidRPr="00090566">
        <w:rPr>
          <w:color w:val="000000"/>
          <w:shd w:val="clear" w:color="auto" w:fill="FFFFFF"/>
        </w:rPr>
        <w:t>]. Mule deer are especially fond of succulent, new white fir growth in the spring [</w:t>
      </w:r>
      <w:hyperlink r:id="rId175" w:anchor="114" w:history="1">
        <w:r w:rsidRPr="00090566">
          <w:rPr>
            <w:rStyle w:val="Hyperlink"/>
            <w:shd w:val="clear" w:color="auto" w:fill="FFFFFF"/>
          </w:rPr>
          <w:t>114</w:t>
        </w:r>
      </w:hyperlink>
      <w:r w:rsidRPr="00090566">
        <w:rPr>
          <w:color w:val="000000"/>
          <w:shd w:val="clear" w:color="auto" w:fill="FFFFFF"/>
        </w:rPr>
        <w:t>,</w:t>
      </w:r>
      <w:hyperlink r:id="rId176" w:anchor="178" w:history="1">
        <w:r w:rsidRPr="00090566">
          <w:rPr>
            <w:rStyle w:val="Hyperlink"/>
            <w:shd w:val="clear" w:color="auto" w:fill="FFFFFF"/>
          </w:rPr>
          <w:t>178</w:t>
        </w:r>
      </w:hyperlink>
      <w:r w:rsidRPr="00090566">
        <w:rPr>
          <w:color w:val="000000"/>
          <w:shd w:val="clear" w:color="auto" w:fill="FFFFFF"/>
        </w:rPr>
        <w:t>,</w:t>
      </w:r>
      <w:hyperlink r:id="rId177" w:anchor="185" w:history="1">
        <w:r w:rsidRPr="00090566">
          <w:rPr>
            <w:rStyle w:val="Hyperlink"/>
            <w:shd w:val="clear" w:color="auto" w:fill="FFFFFF"/>
          </w:rPr>
          <w:t>185</w:t>
        </w:r>
      </w:hyperlink>
      <w:r w:rsidRPr="00090566">
        <w:rPr>
          <w:color w:val="000000"/>
          <w:shd w:val="clear" w:color="auto" w:fill="FFFFFF"/>
        </w:rPr>
        <w:t>]. Spring browsing of white fir by deer can be particularly heavy when small white firs are the only green food available; all of the current or previous year's growth may be consumed [</w:t>
      </w:r>
      <w:hyperlink r:id="rId178" w:anchor="119" w:history="1">
        <w:r w:rsidRPr="00090566">
          <w:rPr>
            <w:rStyle w:val="Hyperlink"/>
            <w:shd w:val="clear" w:color="auto" w:fill="FFFFFF"/>
          </w:rPr>
          <w:t>119</w:t>
        </w:r>
      </w:hyperlink>
      <w:r w:rsidRPr="00090566">
        <w:rPr>
          <w:color w:val="000000"/>
          <w:shd w:val="clear" w:color="auto" w:fill="FFFFFF"/>
        </w:rPr>
        <w:t>].”</w:t>
      </w:r>
    </w:p>
    <w:p w:rsidR="0065505E" w:rsidRPr="00090566" w:rsidRDefault="0065505E" w:rsidP="0065505E">
      <w:pPr>
        <w:pStyle w:val="ListParagraph"/>
        <w:numPr>
          <w:ilvl w:val="0"/>
          <w:numId w:val="36"/>
        </w:numPr>
        <w:spacing w:after="120" w:line="259" w:lineRule="auto"/>
        <w:rPr>
          <w:color w:val="000000"/>
          <w:shd w:val="clear" w:color="auto" w:fill="FFFFFF"/>
        </w:rPr>
      </w:pPr>
      <w:r w:rsidRPr="00090566">
        <w:rPr>
          <w:color w:val="000000"/>
          <w:shd w:val="clear" w:color="auto" w:fill="FFFFFF"/>
        </w:rPr>
        <w:t>“Porcupines enjoy the bark of white fir, and may destroy saplings in their enthusiasm [</w:t>
      </w:r>
      <w:hyperlink r:id="rId179" w:anchor="138" w:history="1">
        <w:r w:rsidRPr="00090566">
          <w:rPr>
            <w:rStyle w:val="Hyperlink"/>
            <w:shd w:val="clear" w:color="auto" w:fill="FFFFFF"/>
          </w:rPr>
          <w:t>138</w:t>
        </w:r>
      </w:hyperlink>
      <w:r w:rsidRPr="00090566">
        <w:rPr>
          <w:color w:val="000000"/>
          <w:shd w:val="clear" w:color="auto" w:fill="FFFFFF"/>
        </w:rPr>
        <w:t>,</w:t>
      </w:r>
      <w:hyperlink r:id="rId180" w:anchor="185" w:history="1">
        <w:r w:rsidRPr="00090566">
          <w:rPr>
            <w:rStyle w:val="Hyperlink"/>
            <w:shd w:val="clear" w:color="auto" w:fill="FFFFFF"/>
          </w:rPr>
          <w:t>185</w:t>
        </w:r>
      </w:hyperlink>
      <w:r w:rsidRPr="00090566">
        <w:rPr>
          <w:color w:val="000000"/>
          <w:shd w:val="clear" w:color="auto" w:fill="FFFFFF"/>
        </w:rPr>
        <w:t>,</w:t>
      </w:r>
      <w:hyperlink r:id="rId181" w:anchor="201" w:history="1">
        <w:r w:rsidRPr="00090566">
          <w:rPr>
            <w:rStyle w:val="Hyperlink"/>
            <w:shd w:val="clear" w:color="auto" w:fill="FFFFFF"/>
          </w:rPr>
          <w:t>201</w:t>
        </w:r>
      </w:hyperlink>
      <w:r w:rsidRPr="00090566">
        <w:rPr>
          <w:color w:val="000000"/>
          <w:shd w:val="clear" w:color="auto" w:fill="FFFFFF"/>
        </w:rPr>
        <w:t>]. Rodents feed on the cambial tissue of white fir in preference to that of Douglas-fir. During the winter, mice feed on the leaders of small white firs near snow level. In the spring, they feed on seedlings, sometimes destroying a large proportion of the current year's seedlings [</w:t>
      </w:r>
      <w:hyperlink r:id="rId182" w:anchor="138" w:history="1">
        <w:r w:rsidRPr="00090566">
          <w:rPr>
            <w:rStyle w:val="Hyperlink"/>
            <w:shd w:val="clear" w:color="auto" w:fill="FFFFFF"/>
          </w:rPr>
          <w:t>138</w:t>
        </w:r>
      </w:hyperlink>
      <w:r w:rsidRPr="00090566">
        <w:rPr>
          <w:color w:val="000000"/>
          <w:shd w:val="clear" w:color="auto" w:fill="FFFFFF"/>
        </w:rPr>
        <w:t>,</w:t>
      </w:r>
      <w:hyperlink r:id="rId183" w:anchor="201" w:history="1">
        <w:r w:rsidRPr="00090566">
          <w:rPr>
            <w:rStyle w:val="Hyperlink"/>
            <w:shd w:val="clear" w:color="auto" w:fill="FFFFFF"/>
          </w:rPr>
          <w:t>201</w:t>
        </w:r>
      </w:hyperlink>
      <w:r w:rsidRPr="00090566">
        <w:rPr>
          <w:color w:val="000000"/>
          <w:shd w:val="clear" w:color="auto" w:fill="FFFFFF"/>
        </w:rPr>
        <w:t>]. Pocket gophers also feed on white fir seedlings in the winter and spring [</w:t>
      </w:r>
      <w:hyperlink r:id="rId184" w:anchor="157" w:history="1">
        <w:r w:rsidRPr="00090566">
          <w:rPr>
            <w:rStyle w:val="Hyperlink"/>
            <w:shd w:val="clear" w:color="auto" w:fill="FFFFFF"/>
          </w:rPr>
          <w:t>157</w:t>
        </w:r>
      </w:hyperlink>
      <w:r w:rsidRPr="00090566">
        <w:rPr>
          <w:color w:val="000000"/>
          <w:shd w:val="clear" w:color="auto" w:fill="FFFFFF"/>
        </w:rPr>
        <w:t>,</w:t>
      </w:r>
      <w:hyperlink r:id="rId185" w:anchor="178" w:history="1">
        <w:r w:rsidRPr="00090566">
          <w:rPr>
            <w:rStyle w:val="Hyperlink"/>
            <w:shd w:val="clear" w:color="auto" w:fill="FFFFFF"/>
          </w:rPr>
          <w:t>178</w:t>
        </w:r>
      </w:hyperlink>
      <w:r w:rsidRPr="00090566">
        <w:rPr>
          <w:color w:val="000000"/>
          <w:shd w:val="clear" w:color="auto" w:fill="FFFFFF"/>
        </w:rPr>
        <w:t>]. White fir needles are an important part of the diet of blue grouse [</w:t>
      </w:r>
      <w:hyperlink r:id="rId186" w:anchor="127" w:history="1">
        <w:r w:rsidRPr="00090566">
          <w:rPr>
            <w:rStyle w:val="Hyperlink"/>
            <w:shd w:val="clear" w:color="auto" w:fill="FFFFFF"/>
          </w:rPr>
          <w:t>127</w:t>
        </w:r>
      </w:hyperlink>
      <w:r w:rsidRPr="00090566">
        <w:rPr>
          <w:color w:val="000000"/>
          <w:shd w:val="clear" w:color="auto" w:fill="FFFFFF"/>
        </w:rPr>
        <w:t>,</w:t>
      </w:r>
      <w:hyperlink r:id="rId187" w:anchor="197" w:history="1">
        <w:r w:rsidRPr="00090566">
          <w:rPr>
            <w:rStyle w:val="Hyperlink"/>
            <w:shd w:val="clear" w:color="auto" w:fill="FFFFFF"/>
          </w:rPr>
          <w:t>197</w:t>
        </w:r>
      </w:hyperlink>
      <w:r w:rsidRPr="00090566">
        <w:rPr>
          <w:color w:val="000000"/>
          <w:shd w:val="clear" w:color="auto" w:fill="FFFFFF"/>
        </w:rPr>
        <w:t>]. White fir seeds are eaten by several species of small mammals and birds including grouse [</w:t>
      </w:r>
      <w:hyperlink r:id="rId188" w:anchor="183" w:history="1">
        <w:r w:rsidRPr="00090566">
          <w:rPr>
            <w:rStyle w:val="Hyperlink"/>
            <w:shd w:val="clear" w:color="auto" w:fill="FFFFFF"/>
          </w:rPr>
          <w:t>183</w:t>
        </w:r>
      </w:hyperlink>
      <w:r w:rsidRPr="00090566">
        <w:rPr>
          <w:color w:val="000000"/>
          <w:shd w:val="clear" w:color="auto" w:fill="FFFFFF"/>
        </w:rPr>
        <w:t>,</w:t>
      </w:r>
      <w:hyperlink r:id="rId189" w:anchor="323" w:history="1">
        <w:r w:rsidRPr="00090566">
          <w:rPr>
            <w:rStyle w:val="Hyperlink"/>
            <w:shd w:val="clear" w:color="auto" w:fill="FFFFFF"/>
          </w:rPr>
          <w:t>323</w:t>
        </w:r>
      </w:hyperlink>
      <w:r w:rsidRPr="00090566">
        <w:rPr>
          <w:color w:val="000000"/>
          <w:shd w:val="clear" w:color="auto" w:fill="FFFFFF"/>
        </w:rPr>
        <w:t>], chipmunks and mice [</w:t>
      </w:r>
      <w:hyperlink r:id="rId190" w:anchor="324" w:history="1">
        <w:r w:rsidRPr="00090566">
          <w:rPr>
            <w:rStyle w:val="Hyperlink"/>
            <w:shd w:val="clear" w:color="auto" w:fill="FFFFFF"/>
          </w:rPr>
          <w:t>324</w:t>
        </w:r>
      </w:hyperlink>
      <w:r w:rsidRPr="00090566">
        <w:rPr>
          <w:color w:val="000000"/>
          <w:shd w:val="clear" w:color="auto" w:fill="FFFFFF"/>
        </w:rPr>
        <w:t>], flying squirrels [</w:t>
      </w:r>
      <w:hyperlink r:id="rId191" w:anchor="346" w:history="1">
        <w:r w:rsidRPr="00090566">
          <w:rPr>
            <w:rStyle w:val="Hyperlink"/>
            <w:shd w:val="clear" w:color="auto" w:fill="FFFFFF"/>
          </w:rPr>
          <w:t>346</w:t>
        </w:r>
      </w:hyperlink>
      <w:r w:rsidRPr="00090566">
        <w:rPr>
          <w:color w:val="000000"/>
          <w:shd w:val="clear" w:color="auto" w:fill="FFFFFF"/>
        </w:rPr>
        <w:t>], chickadees, crossbills, and Clark's nutcracker [</w:t>
      </w:r>
      <w:hyperlink r:id="rId192" w:anchor="127" w:history="1">
        <w:r w:rsidRPr="00090566">
          <w:rPr>
            <w:rStyle w:val="Hyperlink"/>
            <w:shd w:val="clear" w:color="auto" w:fill="FFFFFF"/>
          </w:rPr>
          <w:t>127</w:t>
        </w:r>
      </w:hyperlink>
      <w:r w:rsidRPr="00090566">
        <w:rPr>
          <w:color w:val="000000"/>
          <w:shd w:val="clear" w:color="auto" w:fill="FFFFFF"/>
        </w:rPr>
        <w:t>,</w:t>
      </w:r>
      <w:hyperlink r:id="rId193" w:anchor="197" w:history="1">
        <w:r w:rsidRPr="00090566">
          <w:rPr>
            <w:rStyle w:val="Hyperlink"/>
            <w:shd w:val="clear" w:color="auto" w:fill="FFFFFF"/>
          </w:rPr>
          <w:t>197</w:t>
        </w:r>
      </w:hyperlink>
      <w:r w:rsidRPr="00090566">
        <w:rPr>
          <w:color w:val="000000"/>
          <w:shd w:val="clear" w:color="auto" w:fill="FFFFFF"/>
        </w:rPr>
        <w:t xml:space="preserve">].” </w:t>
      </w:r>
    </w:p>
    <w:p w:rsidR="0065505E" w:rsidRPr="00090566" w:rsidRDefault="0065505E" w:rsidP="0065505E">
      <w:pPr>
        <w:pStyle w:val="ListParagraph"/>
        <w:numPr>
          <w:ilvl w:val="0"/>
          <w:numId w:val="36"/>
        </w:numPr>
        <w:spacing w:after="120" w:line="259" w:lineRule="auto"/>
      </w:pPr>
      <w:r w:rsidRPr="00090566">
        <w:rPr>
          <w:color w:val="000000"/>
          <w:shd w:val="clear" w:color="auto" w:fill="FFFFFF"/>
        </w:rPr>
        <w:lastRenderedPageBreak/>
        <w:t>“Hollow logs and snags of white fir can be important to various birds and animals for foraging in the interior wood [</w:t>
      </w:r>
      <w:hyperlink r:id="rId194" w:anchor="240" w:history="1">
        <w:r w:rsidRPr="00090566">
          <w:rPr>
            <w:rStyle w:val="Hyperlink"/>
            <w:shd w:val="clear" w:color="auto" w:fill="FFFFFF"/>
          </w:rPr>
          <w:t>240</w:t>
        </w:r>
      </w:hyperlink>
      <w:r w:rsidRPr="00090566">
        <w:rPr>
          <w:color w:val="000000"/>
          <w:shd w:val="clear" w:color="auto" w:fill="FFFFFF"/>
        </w:rPr>
        <w:t xml:space="preserve">].” </w:t>
      </w:r>
    </w:p>
    <w:p w:rsidR="0065505E" w:rsidRPr="00090566" w:rsidRDefault="0065505E" w:rsidP="0065505E">
      <w:pPr>
        <w:pStyle w:val="ListParagraph"/>
        <w:numPr>
          <w:ilvl w:val="0"/>
          <w:numId w:val="36"/>
        </w:numPr>
        <w:spacing w:after="120" w:line="259" w:lineRule="auto"/>
      </w:pPr>
      <w:r w:rsidRPr="00090566">
        <w:rPr>
          <w:color w:val="000000"/>
          <w:shd w:val="clear" w:color="auto" w:fill="FFFFFF"/>
        </w:rPr>
        <w:t>“Hollowed-out trunks of old white fir trees, dead or alive, are denning sites for mammals ranging fr</w:t>
      </w:r>
      <w:r>
        <w:rPr>
          <w:color w:val="000000"/>
          <w:shd w:val="clear" w:color="auto" w:fill="FFFFFF"/>
        </w:rPr>
        <w:t>o</w:t>
      </w:r>
      <w:r w:rsidRPr="00090566">
        <w:rPr>
          <w:color w:val="000000"/>
          <w:shd w:val="clear" w:color="auto" w:fill="FFFFFF"/>
        </w:rPr>
        <w:t>m weasels to porcupines to black bears [</w:t>
      </w:r>
      <w:hyperlink r:id="rId195" w:anchor="186" w:history="1">
        <w:r w:rsidRPr="00090566">
          <w:rPr>
            <w:rStyle w:val="Hyperlink"/>
            <w:shd w:val="clear" w:color="auto" w:fill="FFFFFF"/>
          </w:rPr>
          <w:t>186</w:t>
        </w:r>
      </w:hyperlink>
      <w:r w:rsidRPr="00090566">
        <w:rPr>
          <w:color w:val="000000"/>
          <w:shd w:val="clear" w:color="auto" w:fill="FFFFFF"/>
        </w:rPr>
        <w:t>]”.</w:t>
      </w:r>
    </w:p>
    <w:p w:rsidR="0065505E" w:rsidRPr="00090566" w:rsidRDefault="0065505E" w:rsidP="0065505E">
      <w:pPr>
        <w:pStyle w:val="ListParagraph"/>
        <w:numPr>
          <w:ilvl w:val="0"/>
          <w:numId w:val="36"/>
        </w:numPr>
        <w:spacing w:after="120" w:line="259" w:lineRule="auto"/>
      </w:pPr>
      <w:r w:rsidRPr="00090566">
        <w:rPr>
          <w:color w:val="000000"/>
          <w:shd w:val="clear" w:color="auto" w:fill="FFFFFF"/>
        </w:rPr>
        <w:t>“White fir's evergreen foliage provides good hiding cover year-round and is usually continuous from the ground upward on trees less than 8 to 10 inches (20-25 cm) dbh [</w:t>
      </w:r>
      <w:hyperlink r:id="rId196" w:anchor="148" w:history="1">
        <w:r w:rsidRPr="00090566">
          <w:rPr>
            <w:rStyle w:val="Hyperlink"/>
            <w:shd w:val="clear" w:color="auto" w:fill="FFFFFF"/>
          </w:rPr>
          <w:t>148</w:t>
        </w:r>
      </w:hyperlink>
      <w:r w:rsidRPr="00090566">
        <w:rPr>
          <w:color w:val="000000"/>
          <w:shd w:val="clear" w:color="auto" w:fill="FFFFFF"/>
        </w:rPr>
        <w:t>]. White fir stands of this nature provide excellent hiding cover for large wildlife species such as deer, elk, and black bear [</w:t>
      </w:r>
      <w:hyperlink r:id="rId197" w:anchor="141" w:history="1">
        <w:r w:rsidRPr="00090566">
          <w:rPr>
            <w:rStyle w:val="Hyperlink"/>
            <w:shd w:val="clear" w:color="auto" w:fill="FFFFFF"/>
          </w:rPr>
          <w:t>141</w:t>
        </w:r>
      </w:hyperlink>
      <w:r w:rsidRPr="00090566">
        <w:rPr>
          <w:color w:val="000000"/>
          <w:shd w:val="clear" w:color="auto" w:fill="FFFFFF"/>
        </w:rPr>
        <w:t>,</w:t>
      </w:r>
      <w:hyperlink r:id="rId198" w:anchor="187" w:history="1">
        <w:r w:rsidRPr="00090566">
          <w:rPr>
            <w:rStyle w:val="Hyperlink"/>
            <w:shd w:val="clear" w:color="auto" w:fill="FFFFFF"/>
          </w:rPr>
          <w:t>187</w:t>
        </w:r>
      </w:hyperlink>
      <w:r w:rsidRPr="00090566">
        <w:rPr>
          <w:color w:val="000000"/>
          <w:shd w:val="clear" w:color="auto" w:fill="FFFFFF"/>
        </w:rPr>
        <w:t>].”</w:t>
      </w:r>
    </w:p>
    <w:p w:rsidR="0065505E" w:rsidRPr="00090566" w:rsidRDefault="0065505E" w:rsidP="005F760E">
      <w:pPr>
        <w:ind w:firstLine="720"/>
        <w:rPr>
          <w:i/>
          <w:iCs/>
        </w:rPr>
      </w:pPr>
      <w:r w:rsidRPr="00090566">
        <w:rPr>
          <w:i/>
          <w:iCs/>
        </w:rPr>
        <w:t>Value of mature white fir</w:t>
      </w:r>
    </w:p>
    <w:p w:rsidR="0065505E" w:rsidRPr="00090566" w:rsidRDefault="0065505E" w:rsidP="0065505E">
      <w:pPr>
        <w:pStyle w:val="ListParagraph"/>
        <w:numPr>
          <w:ilvl w:val="0"/>
          <w:numId w:val="36"/>
        </w:numPr>
        <w:spacing w:after="120" w:line="259" w:lineRule="auto"/>
      </w:pPr>
      <w:r w:rsidRPr="00090566">
        <w:rPr>
          <w:color w:val="000000"/>
          <w:shd w:val="clear" w:color="auto" w:fill="FFFFFF"/>
        </w:rPr>
        <w:t>“About 123 species of birds are found in the white fir type of California and southern Oregon, about 50 of which are associated primarily with mature forests, and many of which use mature white fir trees and snags for foraging, roosting, nesting and/or breeding [</w:t>
      </w:r>
      <w:hyperlink r:id="rId199" w:anchor="155" w:history="1">
        <w:r w:rsidRPr="00090566">
          <w:rPr>
            <w:rStyle w:val="Hyperlink"/>
            <w:shd w:val="clear" w:color="auto" w:fill="FFFFFF"/>
          </w:rPr>
          <w:t>155</w:t>
        </w:r>
      </w:hyperlink>
      <w:r w:rsidRPr="00090566">
        <w:rPr>
          <w:color w:val="000000"/>
          <w:shd w:val="clear" w:color="auto" w:fill="FFFFFF"/>
        </w:rPr>
        <w:t>,</w:t>
      </w:r>
      <w:hyperlink r:id="rId200" w:anchor="178" w:history="1">
        <w:r w:rsidRPr="00090566">
          <w:rPr>
            <w:rStyle w:val="Hyperlink"/>
            <w:shd w:val="clear" w:color="auto" w:fill="FFFFFF"/>
          </w:rPr>
          <w:t>178</w:t>
        </w:r>
      </w:hyperlink>
      <w:r w:rsidRPr="00090566">
        <w:rPr>
          <w:color w:val="000000"/>
          <w:shd w:val="clear" w:color="auto" w:fill="FFFFFF"/>
        </w:rPr>
        <w:t>,</w:t>
      </w:r>
      <w:hyperlink r:id="rId201" w:anchor="212" w:history="1">
        <w:r w:rsidRPr="00090566">
          <w:rPr>
            <w:rStyle w:val="Hyperlink"/>
            <w:shd w:val="clear" w:color="auto" w:fill="FFFFFF"/>
          </w:rPr>
          <w:t>212</w:t>
        </w:r>
      </w:hyperlink>
      <w:r w:rsidRPr="00090566">
        <w:rPr>
          <w:color w:val="000000"/>
          <w:shd w:val="clear" w:color="auto" w:fill="FFFFFF"/>
        </w:rPr>
        <w:t>,</w:t>
      </w:r>
      <w:hyperlink r:id="rId202" w:anchor="228" w:history="1">
        <w:r w:rsidRPr="00090566">
          <w:rPr>
            <w:rStyle w:val="Hyperlink"/>
            <w:shd w:val="clear" w:color="auto" w:fill="FFFFFF"/>
          </w:rPr>
          <w:t>228</w:t>
        </w:r>
      </w:hyperlink>
      <w:r w:rsidRPr="00090566">
        <w:rPr>
          <w:color w:val="000000"/>
          <w:shd w:val="clear" w:color="auto" w:fill="FFFFFF"/>
        </w:rPr>
        <w:t>,</w:t>
      </w:r>
      <w:hyperlink r:id="rId203" w:anchor="318" w:history="1">
        <w:r w:rsidRPr="00090566">
          <w:rPr>
            <w:rStyle w:val="Hyperlink"/>
            <w:shd w:val="clear" w:color="auto" w:fill="FFFFFF"/>
          </w:rPr>
          <w:t>318</w:t>
        </w:r>
      </w:hyperlink>
      <w:r w:rsidRPr="00090566">
        <w:rPr>
          <w:color w:val="000000"/>
          <w:shd w:val="clear" w:color="auto" w:fill="FFFFFF"/>
        </w:rPr>
        <w:t>].”</w:t>
      </w:r>
    </w:p>
    <w:p w:rsidR="0065505E" w:rsidRPr="00090566" w:rsidRDefault="0065505E" w:rsidP="0065505E">
      <w:pPr>
        <w:pStyle w:val="ListParagraph"/>
        <w:numPr>
          <w:ilvl w:val="0"/>
          <w:numId w:val="36"/>
        </w:numPr>
        <w:spacing w:after="120" w:line="259" w:lineRule="auto"/>
      </w:pPr>
      <w:r w:rsidRPr="00090566">
        <w:rPr>
          <w:color w:val="000000"/>
          <w:shd w:val="clear" w:color="auto" w:fill="FFFFFF"/>
        </w:rPr>
        <w:t>“In Oregon, mature white fir forests provide nesting and feeding habitat for important bird species, such as the goshawk, pileated woodpecker, white-headed woodpecker, and, when near lakes or streams, osprey and bald eagle [</w:t>
      </w:r>
      <w:hyperlink r:id="rId204" w:anchor="149" w:history="1">
        <w:r w:rsidRPr="00090566">
          <w:rPr>
            <w:rStyle w:val="Hyperlink"/>
            <w:shd w:val="clear" w:color="auto" w:fill="FFFFFF"/>
          </w:rPr>
          <w:t>149</w:t>
        </w:r>
      </w:hyperlink>
      <w:r w:rsidRPr="00090566">
        <w:rPr>
          <w:color w:val="000000"/>
          <w:shd w:val="clear" w:color="auto" w:fill="FFFFFF"/>
        </w:rPr>
        <w:t>].”</w:t>
      </w:r>
    </w:p>
    <w:p w:rsidR="0065505E" w:rsidRPr="00090566" w:rsidRDefault="0065505E" w:rsidP="0065505E">
      <w:pPr>
        <w:pStyle w:val="ListParagraph"/>
        <w:numPr>
          <w:ilvl w:val="0"/>
          <w:numId w:val="36"/>
        </w:numPr>
        <w:spacing w:after="120" w:line="259" w:lineRule="auto"/>
      </w:pPr>
      <w:r w:rsidRPr="00090566">
        <w:rPr>
          <w:color w:val="000000"/>
          <w:shd w:val="clear" w:color="auto" w:fill="FFFFFF"/>
        </w:rPr>
        <w:t>“Reptiles in white fir forests are represented by 17 species, mostly at lower elevations, 8 of which are associated with mature forests [</w:t>
      </w:r>
      <w:hyperlink r:id="rId205" w:anchor="178" w:history="1">
        <w:r w:rsidRPr="00090566">
          <w:rPr>
            <w:rStyle w:val="Hyperlink"/>
            <w:shd w:val="clear" w:color="auto" w:fill="FFFFFF"/>
          </w:rPr>
          <w:t>178</w:t>
        </w:r>
      </w:hyperlink>
      <w:r w:rsidRPr="00090566">
        <w:rPr>
          <w:color w:val="000000"/>
          <w:shd w:val="clear" w:color="auto" w:fill="FFFFFF"/>
        </w:rPr>
        <w:t>].”</w:t>
      </w:r>
    </w:p>
    <w:p w:rsidR="0065505E" w:rsidRDefault="0065505E" w:rsidP="0077438E">
      <w:pPr>
        <w:pStyle w:val="ListParagraph"/>
        <w:numPr>
          <w:ilvl w:val="0"/>
          <w:numId w:val="36"/>
        </w:numPr>
        <w:spacing w:after="120" w:line="259" w:lineRule="auto"/>
      </w:pPr>
      <w:r w:rsidRPr="00090566">
        <w:rPr>
          <w:color w:val="000000"/>
          <w:shd w:val="clear" w:color="auto" w:fill="FFFFFF"/>
        </w:rPr>
        <w:t>“If enough shrubs are present in the understory to provide adequate hiding cover, mature white fir forests are used by deer during fawning and by elk during calving [</w:t>
      </w:r>
      <w:hyperlink r:id="rId206" w:anchor="149" w:history="1">
        <w:r w:rsidRPr="00090566">
          <w:rPr>
            <w:rStyle w:val="Hyperlink"/>
            <w:shd w:val="clear" w:color="auto" w:fill="FFFFFF"/>
          </w:rPr>
          <w:t>149</w:t>
        </w:r>
      </w:hyperlink>
      <w:r w:rsidRPr="00090566">
        <w:rPr>
          <w:color w:val="000000"/>
          <w:shd w:val="clear" w:color="auto" w:fill="FFFFFF"/>
        </w:rPr>
        <w:t>,</w:t>
      </w:r>
      <w:hyperlink r:id="rId207" w:anchor="174" w:history="1">
        <w:r w:rsidRPr="00090566">
          <w:rPr>
            <w:rStyle w:val="Hyperlink"/>
            <w:shd w:val="clear" w:color="auto" w:fill="FFFFFF"/>
          </w:rPr>
          <w:t>174</w:t>
        </w:r>
      </w:hyperlink>
      <w:r w:rsidRPr="00090566">
        <w:rPr>
          <w:color w:val="000000"/>
          <w:shd w:val="clear" w:color="auto" w:fill="FFFFFF"/>
        </w:rPr>
        <w:t>].”</w:t>
      </w:r>
    </w:p>
    <w:p w:rsidR="00977740" w:rsidRDefault="00977740" w:rsidP="0077438E"/>
    <w:p w:rsidR="0077438E" w:rsidRPr="007F02FF" w:rsidRDefault="0077438E" w:rsidP="007F02FF">
      <w:pPr>
        <w:pStyle w:val="Subtitle"/>
        <w:ind w:left="720"/>
        <w:rPr>
          <w:b/>
        </w:rPr>
      </w:pPr>
      <w:bookmarkStart w:id="37" w:name="_Toc40443492"/>
      <w:r w:rsidRPr="007F02FF">
        <w:rPr>
          <w:b/>
        </w:rPr>
        <w:t>Removing key protections of the Eastside Screens requires adoption of a comprehensive ecosystem management plan.</w:t>
      </w:r>
      <w:bookmarkEnd w:id="37"/>
    </w:p>
    <w:p w:rsidR="0077438E" w:rsidRDefault="0077438E" w:rsidP="0077438E">
      <w:r>
        <w:t>The whitepaper says that the Eastside Screens were intended to be temporary but it’s important to remember the context. They screens were supposed to be replaced by a science-based comprehensive ecosystem management plan (ICBEMP) that was never finalized and adopted as plan standards. If this important screens requirement is lifted now, without a comprehensive ecosystem management plan, then it will violate the intent of the screens adoption.</w:t>
      </w:r>
    </w:p>
    <w:p w:rsidR="00977740" w:rsidRDefault="00977740" w:rsidP="0077438E"/>
    <w:p w:rsidR="0077438E" w:rsidRPr="007F02FF" w:rsidRDefault="0077438E" w:rsidP="007F02FF">
      <w:pPr>
        <w:pStyle w:val="Subtitle"/>
        <w:ind w:left="720"/>
        <w:rPr>
          <w:b/>
        </w:rPr>
      </w:pPr>
      <w:bookmarkStart w:id="38" w:name="_Toc40443493"/>
      <w:r w:rsidRPr="007F02FF">
        <w:rPr>
          <w:b/>
        </w:rPr>
        <w:t>Decades of logging and fires have left forests less than homogeneous. The FS has the tools to diversify forests without removing large trees.</w:t>
      </w:r>
      <w:bookmarkEnd w:id="38"/>
      <w:r w:rsidRPr="007F02FF">
        <w:rPr>
          <w:b/>
        </w:rPr>
        <w:t xml:space="preserve"> </w:t>
      </w:r>
    </w:p>
    <w:p w:rsidR="00977740" w:rsidRDefault="0077438E" w:rsidP="0077438E">
      <w:r>
        <w:t xml:space="preserve">The whitepaper says “Many forests are now homogenized, with conditions no longer resembling those existing prior to Euro-American settlement.” This statement is incomplete and misleading because it fails to recognize that there have been 25 </w:t>
      </w:r>
      <w:proofErr w:type="spellStart"/>
      <w:r>
        <w:t>years worth</w:t>
      </w:r>
      <w:proofErr w:type="spellEnd"/>
      <w:r>
        <w:t xml:space="preserve"> of thinning and fires since the screens were adopted, and the agencies forest health objectives can be met by continuing to focus on removal of trees less than 21” dbh.</w:t>
      </w:r>
    </w:p>
    <w:p w:rsidR="00977740" w:rsidRDefault="00977740" w:rsidP="0077438E"/>
    <w:p w:rsidR="0077438E" w:rsidRPr="007F02FF" w:rsidRDefault="0077438E" w:rsidP="007F02FF">
      <w:pPr>
        <w:pStyle w:val="Subtitle"/>
        <w:ind w:left="720"/>
        <w:rPr>
          <w:b/>
        </w:rPr>
      </w:pPr>
      <w:bookmarkStart w:id="39" w:name="_Toc40443494"/>
      <w:r w:rsidRPr="007F02FF">
        <w:rPr>
          <w:b/>
        </w:rPr>
        <w:t>“Seed rain” should be addressed by reintroducing fire, not logging large trees.</w:t>
      </w:r>
      <w:bookmarkEnd w:id="39"/>
    </w:p>
    <w:p w:rsidR="0077438E" w:rsidRDefault="0077438E" w:rsidP="0077438E">
      <w:r>
        <w:lastRenderedPageBreak/>
        <w:t>The whitepaper says “Regeneration harvests or severe fires may be needed to remove local seed sources and competition from undesirable shade-tolerant trees, in order to fire or climate change adapt certain patches of forest.” This statement is incomplete and misleading because seed sources of shade-tolerant trees have always been present (as evidenced by the extensive presence of native shade-tolerant trees on the landscape today). The problems is not seed sources, it’s the lack of frequent fire that tended to kill young shade-tolerant trees. The Forest Service has long said they are doing fuel reduction as a precursor to reintroduce prescribed fire. If this is true, then the alleged problem of seed sources will be addressed by the application of natural processes. (fire) that will kill seedlings and saplings.</w:t>
      </w:r>
    </w:p>
    <w:p w:rsidR="00977740" w:rsidRDefault="00977740" w:rsidP="0077438E"/>
    <w:p w:rsidR="0077438E" w:rsidRPr="007F02FF" w:rsidRDefault="0077438E" w:rsidP="007F02FF">
      <w:pPr>
        <w:pStyle w:val="Subtitle"/>
        <w:ind w:left="720"/>
        <w:rPr>
          <w:b/>
        </w:rPr>
      </w:pPr>
      <w:bookmarkStart w:id="40" w:name="_Toc40443495"/>
      <w:r w:rsidRPr="007F02FF">
        <w:rPr>
          <w:b/>
        </w:rPr>
        <w:t>Reduced reproduction of shade-intolerant trees is vastly overstated.</w:t>
      </w:r>
      <w:bookmarkEnd w:id="40"/>
    </w:p>
    <w:p w:rsidR="0077438E" w:rsidRDefault="0077438E" w:rsidP="0077438E">
      <w:pPr>
        <w:pStyle w:val="BodyText"/>
        <w:rPr>
          <w:lang w:eastAsia="ar-SA"/>
        </w:rPr>
      </w:pPr>
      <w:r>
        <w:rPr>
          <w:lang w:eastAsia="ar-SA"/>
        </w:rPr>
        <w:t>The proponents of this plan amendment often say that white fir cast too much shade and prevent shade-intolerant trees species such as Ponderosa pine form establishing new cohorts of trees. This problem is vastly over-stated based on the following considerations:</w:t>
      </w:r>
    </w:p>
    <w:p w:rsidR="0077438E" w:rsidRDefault="0077438E" w:rsidP="0077438E">
      <w:pPr>
        <w:pStyle w:val="BodyText"/>
        <w:numPr>
          <w:ilvl w:val="0"/>
          <w:numId w:val="25"/>
        </w:numPr>
        <w:rPr>
          <w:lang w:eastAsia="ar-SA"/>
        </w:rPr>
      </w:pPr>
      <w:r>
        <w:rPr>
          <w:lang w:eastAsia="ar-SA"/>
        </w:rPr>
        <w:t>Most importantly, there are often long temporal gaps between pulses of tree establishment. Continuous recruitment of new trees is not necessary for stand maintenance or restoration.</w:t>
      </w:r>
    </w:p>
    <w:p w:rsidR="0077438E" w:rsidRDefault="0077438E" w:rsidP="0077438E">
      <w:pPr>
        <w:pStyle w:val="BodyText"/>
        <w:numPr>
          <w:ilvl w:val="0"/>
          <w:numId w:val="25"/>
        </w:numPr>
        <w:rPr>
          <w:lang w:eastAsia="ar-SA"/>
        </w:rPr>
      </w:pPr>
      <w:r>
        <w:rPr>
          <w:lang w:eastAsia="ar-SA"/>
        </w:rPr>
        <w:t xml:space="preserve">Natural, historic fire regimes were frequent and often eliminated seedlings. Many people are calling for agency to reintroduce frequent fire which will kill many the young shade-intolerant trees.  </w:t>
      </w:r>
    </w:p>
    <w:p w:rsidR="0077438E" w:rsidRDefault="0077438E" w:rsidP="0077438E">
      <w:pPr>
        <w:pStyle w:val="BodyText"/>
        <w:numPr>
          <w:ilvl w:val="0"/>
          <w:numId w:val="25"/>
        </w:numPr>
        <w:rPr>
          <w:lang w:eastAsia="ar-SA"/>
        </w:rPr>
      </w:pPr>
      <w:r>
        <w:rPr>
          <w:lang w:eastAsia="ar-SA"/>
        </w:rPr>
        <w:t xml:space="preserve">Shade-intolerant trees have many opportunities to establish under existing policy and existing environmental conditions, such as: </w:t>
      </w:r>
    </w:p>
    <w:p w:rsidR="0077438E" w:rsidRDefault="0077438E" w:rsidP="0077438E">
      <w:pPr>
        <w:pStyle w:val="BodyText"/>
        <w:numPr>
          <w:ilvl w:val="1"/>
          <w:numId w:val="25"/>
        </w:numPr>
        <w:rPr>
          <w:lang w:eastAsia="ar-SA"/>
        </w:rPr>
      </w:pPr>
      <w:r>
        <w:rPr>
          <w:lang w:eastAsia="ar-SA"/>
        </w:rPr>
        <w:t xml:space="preserve">when shade is removed by thinning trees less than 21” dbh, </w:t>
      </w:r>
    </w:p>
    <w:p w:rsidR="0077438E" w:rsidRDefault="0077438E" w:rsidP="0077438E">
      <w:pPr>
        <w:pStyle w:val="BodyText"/>
        <w:numPr>
          <w:ilvl w:val="1"/>
          <w:numId w:val="25"/>
        </w:numPr>
        <w:rPr>
          <w:lang w:eastAsia="ar-SA"/>
        </w:rPr>
      </w:pPr>
      <w:r>
        <w:rPr>
          <w:lang w:eastAsia="ar-SA"/>
        </w:rPr>
        <w:t xml:space="preserve">after wildfire or prescribed fire occurs, </w:t>
      </w:r>
    </w:p>
    <w:p w:rsidR="0077438E" w:rsidRDefault="0077438E" w:rsidP="0077438E">
      <w:pPr>
        <w:pStyle w:val="BodyText"/>
        <w:numPr>
          <w:ilvl w:val="1"/>
          <w:numId w:val="25"/>
        </w:numPr>
        <w:rPr>
          <w:lang w:eastAsia="ar-SA"/>
        </w:rPr>
      </w:pPr>
      <w:r>
        <w:rPr>
          <w:lang w:eastAsia="ar-SA"/>
        </w:rPr>
        <w:t>after the mature shade-tolerant trees die (they tend to be short-lived compared to Ponderosa pine), and</w:t>
      </w:r>
    </w:p>
    <w:p w:rsidR="0077438E" w:rsidRDefault="0077438E" w:rsidP="0077438E">
      <w:pPr>
        <w:pStyle w:val="BodyText"/>
        <w:numPr>
          <w:ilvl w:val="1"/>
          <w:numId w:val="25"/>
        </w:numPr>
        <w:rPr>
          <w:lang w:eastAsia="ar-SA"/>
        </w:rPr>
      </w:pPr>
      <w:r>
        <w:rPr>
          <w:lang w:eastAsia="ar-SA"/>
        </w:rPr>
        <w:t>when canopy gaps occur due to other natural causes (wind, snow, mistletoe, root rot, beetles), etc.</w:t>
      </w:r>
    </w:p>
    <w:p w:rsidR="0077438E" w:rsidRDefault="0077438E" w:rsidP="0077438E">
      <w:pPr>
        <w:pStyle w:val="BodyText"/>
        <w:numPr>
          <w:ilvl w:val="0"/>
          <w:numId w:val="25"/>
        </w:numPr>
        <w:rPr>
          <w:lang w:eastAsia="ar-SA"/>
        </w:rPr>
      </w:pPr>
      <w:r>
        <w:rPr>
          <w:lang w:eastAsia="ar-SA"/>
        </w:rPr>
        <w:t>People are most often complaining that forests are too dense. The failure of conifer regeneration seems to imply they are not dense enough. This is contradictory.</w:t>
      </w:r>
    </w:p>
    <w:p w:rsidR="00977740" w:rsidRDefault="0077438E" w:rsidP="0077438E">
      <w:pPr>
        <w:pStyle w:val="BodyText"/>
        <w:rPr>
          <w:lang w:eastAsia="ar-SA"/>
        </w:rPr>
      </w:pPr>
      <w:r>
        <w:rPr>
          <w:lang w:eastAsia="ar-SA"/>
        </w:rPr>
        <w:t>These conifer establishment opportunities are occurring on tens of thousands of acres per year and many of these mechanisms are expected to increase as a result of climate change. There is simply not a scientifically credible concern that adequate numbers of shade-intolerant trees are failing to establish.</w:t>
      </w:r>
    </w:p>
    <w:p w:rsidR="0077438E" w:rsidRPr="007F02FF" w:rsidRDefault="0077438E" w:rsidP="007F02FF">
      <w:pPr>
        <w:pStyle w:val="Subtitle"/>
        <w:ind w:left="720"/>
        <w:rPr>
          <w:b/>
        </w:rPr>
      </w:pPr>
      <w:bookmarkStart w:id="41" w:name="_Toc40443496"/>
      <w:r w:rsidRPr="007F02FF">
        <w:rPr>
          <w:b/>
        </w:rPr>
        <w:t>Wildfires continue to burn with a characteristic mix of mostly low and mixed severity effect. It is not clear that fire severity has increased.</w:t>
      </w:r>
      <w:bookmarkEnd w:id="41"/>
    </w:p>
    <w:p w:rsidR="0077438E" w:rsidRPr="00843ABA" w:rsidRDefault="0077438E" w:rsidP="0077438E">
      <w:pPr>
        <w:suppressAutoHyphens/>
        <w:spacing w:line="240" w:lineRule="auto"/>
      </w:pPr>
      <w:r>
        <w:lastRenderedPageBreak/>
        <w:t xml:space="preserve">The whitepaper says “Disturbance regimes have become more severe.” This statement is incomplete and misleading because the evidence for increasing fire severity is mixed at best. The best available science (as opposed to anecdotes) shows that wildfires across the region continue to burn with a characteristic mix of mostly low and mixed severity effects. A careful review of the scientific literature will turn up many studies that contradict the assertion that fires have become </w:t>
      </w:r>
      <w:r w:rsidRPr="00843ABA">
        <w:t xml:space="preserve">more severe. </w:t>
      </w:r>
    </w:p>
    <w:p w:rsidR="0077438E" w:rsidRPr="00007306" w:rsidRDefault="0077438E" w:rsidP="0077438E">
      <w:pPr>
        <w:numPr>
          <w:ilvl w:val="1"/>
          <w:numId w:val="24"/>
        </w:numPr>
        <w:suppressAutoHyphens/>
        <w:spacing w:line="240" w:lineRule="auto"/>
        <w:ind w:left="720"/>
      </w:pPr>
      <w:proofErr w:type="spellStart"/>
      <w:r w:rsidRPr="00007306">
        <w:t>Schwind</w:t>
      </w:r>
      <w:proofErr w:type="spellEnd"/>
      <w:r w:rsidRPr="00007306">
        <w:t xml:space="preserve">, B. (compiler). 2008. MTBS: Monitoring Trends in Burn Severity: Report on the PNW &amp; PSW Fires — 1984 to 2005. </w:t>
      </w:r>
      <w:hyperlink r:id="rId208" w:history="1">
        <w:r w:rsidRPr="00007306">
          <w:rPr>
            <w:rStyle w:val="Hyperlink"/>
          </w:rPr>
          <w:t>https://web.archive.org/web/20130214220819/http://www.mtbs.gov/reports/MTBS_pnw-psw_final.pdf</w:t>
        </w:r>
      </w:hyperlink>
      <w:r w:rsidRPr="00007306">
        <w:t xml:space="preserve">  (“MTBS data does not support the assumption that wildfires [in the PNW] are burning more severely in recent years. ... </w:t>
      </w:r>
      <w:r w:rsidRPr="00007306">
        <w:rPr>
          <w:color w:val="000000"/>
        </w:rPr>
        <w:t>The majority of area burned falls within the unburned to low severity range, with relatively low annual variation in these severity classes. The high and moderate severity classes show higher relative variation between years, suggesting that these classes may be most influenced by variation in climate, weather, and seasonal fuel conditions.</w:t>
      </w:r>
      <w:r w:rsidRPr="00007306">
        <w:t>”)</w:t>
      </w:r>
    </w:p>
    <w:p w:rsidR="0077438E" w:rsidRPr="00977740" w:rsidRDefault="0077438E" w:rsidP="0077438E">
      <w:pPr>
        <w:numPr>
          <w:ilvl w:val="1"/>
          <w:numId w:val="24"/>
        </w:numPr>
        <w:suppressAutoHyphens/>
        <w:spacing w:line="240" w:lineRule="auto"/>
        <w:ind w:left="720"/>
        <w:rPr>
          <w:rStyle w:val="fontstyle21"/>
          <w:sz w:val="24"/>
          <w:szCs w:val="24"/>
        </w:rPr>
      </w:pPr>
      <w:proofErr w:type="spellStart"/>
      <w:r w:rsidRPr="00977740">
        <w:rPr>
          <w:rStyle w:val="fontstyle21"/>
          <w:sz w:val="24"/>
          <w:szCs w:val="24"/>
        </w:rPr>
        <w:t>Vaillant</w:t>
      </w:r>
      <w:proofErr w:type="spellEnd"/>
      <w:r w:rsidRPr="00977740">
        <w:rPr>
          <w:rStyle w:val="fontstyle21"/>
          <w:sz w:val="24"/>
          <w:szCs w:val="24"/>
        </w:rPr>
        <w:t xml:space="preserve"> &amp; Reinhardt 2017. An Evaluation of the Forest Service Hazardous Fuels Treatment Program—Are We Treating Enough to Promote Resiliency or Reduce Hazard? J. For. 115(4):300 –308. July 2017. </w:t>
      </w:r>
      <w:hyperlink r:id="rId209" w:history="1">
        <w:r w:rsidRPr="00977740">
          <w:rPr>
            <w:rStyle w:val="Hyperlink"/>
          </w:rPr>
          <w:t>https://doi.org/10.5849/jof.16-067</w:t>
        </w:r>
      </w:hyperlink>
      <w:r w:rsidRPr="00977740">
        <w:rPr>
          <w:rStyle w:val="fontstyle21"/>
          <w:sz w:val="24"/>
          <w:szCs w:val="24"/>
        </w:rPr>
        <w:t xml:space="preserve">. </w:t>
      </w:r>
      <w:hyperlink r:id="rId210" w:history="1">
        <w:r w:rsidRPr="00977740">
          <w:rPr>
            <w:rStyle w:val="Hyperlink"/>
          </w:rPr>
          <w:t>https://www.fs.fed.us/pnw/pubs/journals/pnw_2017_vaillant001.pdf</w:t>
        </w:r>
      </w:hyperlink>
      <w:r w:rsidRPr="00977740">
        <w:rPr>
          <w:rStyle w:val="fontstyle21"/>
          <w:sz w:val="24"/>
          <w:szCs w:val="24"/>
        </w:rPr>
        <w:t xml:space="preserve"> (Nationwide, only 11% of fires burn uncharacteristically.)</w:t>
      </w:r>
    </w:p>
    <w:p w:rsidR="0077438E" w:rsidRPr="00007306" w:rsidRDefault="0077438E" w:rsidP="0077438E">
      <w:pPr>
        <w:numPr>
          <w:ilvl w:val="1"/>
          <w:numId w:val="24"/>
        </w:numPr>
        <w:suppressAutoHyphens/>
        <w:spacing w:line="240" w:lineRule="auto"/>
        <w:ind w:left="720"/>
      </w:pPr>
      <w:r w:rsidRPr="00007306">
        <w:t xml:space="preserve">Law, B.E., Waring, R.H. 2015. Review and synthesis - Carbon implications of current and future effects of drought, fire and management on Pacific Northwest forests. Forest Ecology and Management 355 (2015) 4–14. </w:t>
      </w:r>
      <w:hyperlink r:id="rId211" w:history="1">
        <w:r w:rsidRPr="00007306">
          <w:rPr>
            <w:rStyle w:val="Hyperlink"/>
          </w:rPr>
          <w:t>http://people.forestry.oregonstate.edu/richard-waring/sites/people.forestry.oregonstate.edu.richard-waring/files/publications/Law%20and%20Waring%202015.pdf</w:t>
        </w:r>
      </w:hyperlink>
      <w:r w:rsidRPr="00007306">
        <w:t xml:space="preserve"> (This study reported no significant trend in area burned, number of fires, or fire severity for the state of Oregon.)</w:t>
      </w:r>
    </w:p>
    <w:p w:rsidR="0077438E" w:rsidRPr="00007306" w:rsidRDefault="0077438E" w:rsidP="0077438E">
      <w:pPr>
        <w:numPr>
          <w:ilvl w:val="1"/>
          <w:numId w:val="24"/>
        </w:numPr>
        <w:suppressAutoHyphens/>
        <w:spacing w:line="240" w:lineRule="auto"/>
        <w:ind w:left="720"/>
      </w:pPr>
      <w:r w:rsidRPr="00007306">
        <w:t xml:space="preserve">Ray Davis et al 2015. RMP Revisions for Western Oregon BLM DEIS. Appendix D – Modeling Wildfires and Fire Severity. </w:t>
      </w:r>
      <w:hyperlink r:id="rId212" w:history="1">
        <w:r w:rsidRPr="00007306">
          <w:rPr>
            <w:rStyle w:val="Hyperlink"/>
          </w:rPr>
          <w:t>http://www.blm.gov/or/plans/rmpswesternoregon/files/draft/RMP_EIS_Volume3_appd.pdf</w:t>
        </w:r>
      </w:hyperlink>
      <w:r w:rsidRPr="00007306">
        <w:t>. (“… examined the MTBS data for any obvious temporal trends in wildfire severity [within the range of the spotted owl], but did not detect a strong signal (Figure D-6). Over the course of 25 years, there appears to be a slight increase in the percentage of area burned by low and moderate severity wildfire, and a slight decrease in the percent of area burned in high severity wildfire, although these trends are not statistically significant. …”)</w:t>
      </w:r>
    </w:p>
    <w:p w:rsidR="0077438E" w:rsidRPr="00007306" w:rsidRDefault="0077438E" w:rsidP="0077438E">
      <w:pPr>
        <w:numPr>
          <w:ilvl w:val="1"/>
          <w:numId w:val="24"/>
        </w:numPr>
        <w:suppressAutoHyphens/>
        <w:spacing w:line="240" w:lineRule="auto"/>
        <w:ind w:left="720"/>
      </w:pPr>
      <w:r w:rsidRPr="00007306">
        <w:t xml:space="preserve">Alisa Keyser and Anthony </w:t>
      </w:r>
      <w:proofErr w:type="spellStart"/>
      <w:r w:rsidRPr="00007306">
        <w:t>Westerling</w:t>
      </w:r>
      <w:proofErr w:type="spellEnd"/>
      <w:r w:rsidRPr="00007306">
        <w:t xml:space="preserve">, 2017. Climate drives inter-annual variability in probability of high severity fire occurrence in the western United States, Environmental Research Letters. Accepted Manuscript online 4 April 2017 </w:t>
      </w:r>
      <w:hyperlink r:id="rId213" w:history="1">
        <w:r w:rsidRPr="00007306">
          <w:rPr>
            <w:rStyle w:val="Hyperlink"/>
          </w:rPr>
          <w:t>https://doi.org/10.1088/1748-9326/aa6b10</w:t>
        </w:r>
      </w:hyperlink>
      <w:r w:rsidRPr="00007306">
        <w:t>. (“We tested trends for WUS [western United States], each state, and each month. We found no significant trend in WUS high severity fire occurrence over 1984-2014, except for Colorado (table S1). While some studies have shown increasing fire season length, we saw no significant increase in high severity fire occurrence by month, May through October (figure S1). We found no correlation between fraction of high severity fire and total fire size, meaning increasing large fires does not necessarily increase fractional high severity fire area.”)</w:t>
      </w:r>
    </w:p>
    <w:p w:rsidR="0077438E" w:rsidRPr="00007306" w:rsidRDefault="0077438E" w:rsidP="0077438E">
      <w:pPr>
        <w:numPr>
          <w:ilvl w:val="1"/>
          <w:numId w:val="24"/>
        </w:numPr>
        <w:suppressAutoHyphens/>
        <w:spacing w:line="240" w:lineRule="auto"/>
        <w:ind w:left="720"/>
      </w:pPr>
      <w:r w:rsidRPr="00007306">
        <w:lastRenderedPageBreak/>
        <w:t xml:space="preserve">Brendan P. Murphy, Larissa L. </w:t>
      </w:r>
      <w:proofErr w:type="spellStart"/>
      <w:r w:rsidRPr="00007306">
        <w:t>Yocom</w:t>
      </w:r>
      <w:proofErr w:type="spellEnd"/>
      <w:r w:rsidRPr="00007306">
        <w:t xml:space="preserve">, Patrick Belmont. 2018. Beyond the 1984 perspective: narrow focus on modern wildfire trends underestimates future risks to water security. Earth's Future, 2018; DOI: 10.1029/ 2018EF001006 </w:t>
      </w:r>
      <w:hyperlink r:id="rId214" w:history="1">
        <w:r w:rsidRPr="00007306">
          <w:rPr>
            <w:rStyle w:val="Hyperlink"/>
          </w:rPr>
          <w:t>https://agupubs.onlinelibrary.wiley.com/doi/pdf/10.1029/2018EF001006</w:t>
        </w:r>
      </w:hyperlink>
      <w:r w:rsidRPr="00007306">
        <w:t xml:space="preserve"> (“Compiling several datasets, we illustrate a comprehensive history of western wildfire, demonstrate that the majority of western settlement occurred during an artificially and anomalously low period of wildfire in the 20th century, ... A crucial first step toward realigning public perspectives will require scientists and journalists to present recent increases in wildfire area within the context and scale of longer</w:t>
      </w:r>
      <w:r>
        <w:t>-</w:t>
      </w:r>
      <w:r w:rsidRPr="00007306">
        <w:t>term trends. ... A review of Science, Nature, and PNAS reveals that 77% of wildfire-related articles published about the western U.S. since 2000 (n=52) only address fire trends from the past few decades. In many of these studies, as well as in principal wildfire databases (</w:t>
      </w:r>
      <w:proofErr w:type="spellStart"/>
      <w:r w:rsidRPr="00007306">
        <w:t>Eidenshink</w:t>
      </w:r>
      <w:proofErr w:type="spellEnd"/>
      <w:r w:rsidRPr="00007306">
        <w:t xml:space="preserve"> et al., 2007; NIFC, 2017), ca. 1984 is frequently the first year presented, because this marks the beginning of consistent, satellite-derived records (Short, 2015). Wildfire area has rapidly increased since 1984, as ecosystems realize their potential to burn in an era of lengthening fire seasons and warming temperatures (</w:t>
      </w:r>
      <w:proofErr w:type="spellStart"/>
      <w:r w:rsidRPr="00007306">
        <w:t>Abatzoglou</w:t>
      </w:r>
      <w:proofErr w:type="spellEnd"/>
      <w:r w:rsidRPr="00007306">
        <w:t xml:space="preserve"> &amp; Williams, 2016). However, this “1984 perspective” of wildfire is problematic. First and foremost, the 1980s represent the end of an anomalously low period for wildfire during the mid-20th century, and western U.S. landscapes remain well below historical wildfire activity (Barrett, et al., 1997; </w:t>
      </w:r>
      <w:proofErr w:type="spellStart"/>
      <w:r w:rsidRPr="00007306">
        <w:t>Leenhouts</w:t>
      </w:r>
      <w:proofErr w:type="spellEnd"/>
      <w:r w:rsidRPr="00007306">
        <w:t xml:space="preserve">, 1998; Stephens et al., 2007; </w:t>
      </w:r>
      <w:proofErr w:type="spellStart"/>
      <w:r w:rsidRPr="00007306">
        <w:t>Littell</w:t>
      </w:r>
      <w:proofErr w:type="spellEnd"/>
      <w:r w:rsidRPr="00007306">
        <w:t xml:space="preserve"> et al., 2009; </w:t>
      </w:r>
      <w:proofErr w:type="spellStart"/>
      <w:r w:rsidRPr="00007306">
        <w:t>Swetnam</w:t>
      </w:r>
      <w:proofErr w:type="spellEnd"/>
      <w:r w:rsidRPr="00007306">
        <w:t xml:space="preserve"> et al., 2016). ... Historical reconstructions of annual area burned demonstrate that wildfire area in the pre-settlement western U.S. was many times greater than the supposed ‘record highs’ of today (Barrett, et al., 1997; </w:t>
      </w:r>
      <w:proofErr w:type="spellStart"/>
      <w:r w:rsidRPr="00007306">
        <w:t>Leenhouts</w:t>
      </w:r>
      <w:proofErr w:type="spellEnd"/>
      <w:r w:rsidRPr="00007306">
        <w:t>, 1998; Stephens et al., 2007) (Fig. 1A&amp;C). Borne out by hundreds of fire-history studies, research consistently shows that dry western forests frequently burned by wildfire over the past few centuries (Falk et al., 2010). Although wildfire activity naturally oscillates over millennial timescales (Marlon et al., 2012), area burned across the West began to rapidly decline in the late 19th century with the introduction of railroads and livestock (</w:t>
      </w:r>
      <w:proofErr w:type="spellStart"/>
      <w:r w:rsidRPr="00007306">
        <w:t>Swetnam</w:t>
      </w:r>
      <w:proofErr w:type="spellEnd"/>
      <w:r w:rsidRPr="00007306">
        <w:t xml:space="preserve"> et al., 2016). This was especially true in dry forest ecosystems, where livestock ate the fine fuel necessary to carry widespread surface fires. By the mid-20th century (ca. 1950s to mid-1980s), the area burning annually across all western ecosystems had plummeted from 7-18 </w:t>
      </w:r>
      <w:proofErr w:type="spellStart"/>
      <w:r w:rsidRPr="00007306">
        <w:t>Mha</w:t>
      </w:r>
      <w:proofErr w:type="spellEnd"/>
      <w:r w:rsidRPr="00007306">
        <w:t xml:space="preserve"> to less than 0.5 </w:t>
      </w:r>
      <w:proofErr w:type="spellStart"/>
      <w:r w:rsidRPr="00007306">
        <w:t>Mha</w:t>
      </w:r>
      <w:proofErr w:type="spellEnd"/>
      <w:r w:rsidRPr="00007306">
        <w:t xml:space="preserve"> due to fire suppression activities (</w:t>
      </w:r>
      <w:proofErr w:type="spellStart"/>
      <w:r w:rsidRPr="00007306">
        <w:t>Leenhouts</w:t>
      </w:r>
      <w:proofErr w:type="spellEnd"/>
      <w:r w:rsidRPr="00007306">
        <w:t xml:space="preserve">, 1998; </w:t>
      </w:r>
      <w:proofErr w:type="spellStart"/>
      <w:r w:rsidRPr="00007306">
        <w:t>Littell</w:t>
      </w:r>
      <w:proofErr w:type="spellEnd"/>
      <w:r w:rsidRPr="00007306">
        <w:t xml:space="preserve"> et al., 2009) (Figure 1A). This West-wide decline in area burned is corroborated by </w:t>
      </w:r>
      <w:proofErr w:type="spellStart"/>
      <w:r w:rsidRPr="00007306">
        <w:t>subregional</w:t>
      </w:r>
      <w:proofErr w:type="spellEnd"/>
      <w:r w:rsidRPr="00007306">
        <w:t xml:space="preserve"> records (Figure 1C) and is consistent with the 20</w:t>
      </w:r>
      <w:r w:rsidRPr="00007306">
        <w:rPr>
          <w:vertAlign w:val="superscript"/>
        </w:rPr>
        <w:t>th</w:t>
      </w:r>
      <w:r w:rsidRPr="00007306">
        <w:t xml:space="preserve"> century “fire deficit” observed in fire scar and charcoal influx records Marlon et al., 2012). ... The annual area burned, as well as burn severity, are projected to continue increasing across the western U.S. through the 21st century due to climate change and, in some ecosystems, excess fuel loading from fire suppression (Brown et al., 2004; </w:t>
      </w:r>
      <w:proofErr w:type="spellStart"/>
      <w:r w:rsidRPr="00007306">
        <w:t>Westerling</w:t>
      </w:r>
      <w:proofErr w:type="spellEnd"/>
      <w:r w:rsidRPr="00007306">
        <w:t xml:space="preserve"> et al., 2011; </w:t>
      </w:r>
      <w:proofErr w:type="spellStart"/>
      <w:r w:rsidRPr="00007306">
        <w:t>Hawbaker</w:t>
      </w:r>
      <w:proofErr w:type="spellEnd"/>
      <w:r w:rsidRPr="00007306">
        <w:t xml:space="preserve"> &amp; Zhu, 2012; </w:t>
      </w:r>
      <w:proofErr w:type="spellStart"/>
      <w:r w:rsidRPr="00007306">
        <w:t>Abatzoglou</w:t>
      </w:r>
      <w:proofErr w:type="spellEnd"/>
      <w:r w:rsidRPr="00007306">
        <w:t xml:space="preserve"> &amp; Williams, 2016; </w:t>
      </w:r>
      <w:proofErr w:type="spellStart"/>
      <w:r w:rsidRPr="00007306">
        <w:t>Abatzoglou</w:t>
      </w:r>
      <w:proofErr w:type="spellEnd"/>
      <w:r w:rsidRPr="00007306">
        <w:t xml:space="preserve"> et al., 2017).”)</w:t>
      </w:r>
    </w:p>
    <w:p w:rsidR="0077438E" w:rsidRPr="00007306" w:rsidRDefault="0077438E" w:rsidP="0077438E">
      <w:pPr>
        <w:numPr>
          <w:ilvl w:val="1"/>
          <w:numId w:val="24"/>
        </w:numPr>
        <w:suppressAutoHyphens/>
        <w:spacing w:line="240" w:lineRule="auto"/>
        <w:ind w:left="720"/>
      </w:pPr>
      <w:r w:rsidRPr="00007306">
        <w:t xml:space="preserve">Baker, W. L. 2015. Are high-severity fires burning at much higher rates recently than historically in dry-forest landscapes of the Western USA? </w:t>
      </w:r>
      <w:proofErr w:type="spellStart"/>
      <w:r w:rsidRPr="00007306">
        <w:t>PLoS</w:t>
      </w:r>
      <w:proofErr w:type="spellEnd"/>
      <w:r w:rsidRPr="00007306">
        <w:t xml:space="preserve"> ONE 10(9): e0136147; </w:t>
      </w:r>
    </w:p>
    <w:p w:rsidR="0077438E" w:rsidRPr="00007306" w:rsidRDefault="0077438E" w:rsidP="0077438E">
      <w:pPr>
        <w:numPr>
          <w:ilvl w:val="1"/>
          <w:numId w:val="24"/>
        </w:numPr>
        <w:suppressAutoHyphens/>
        <w:spacing w:line="240" w:lineRule="auto"/>
        <w:ind w:left="720"/>
      </w:pPr>
      <w:r w:rsidRPr="00007306">
        <w:t xml:space="preserve">Collins, B.M. et al. 2009. Interactions among wildland fires in a long-established Sierra Nevada natural fire area. Ecosystems 12:114–128; </w:t>
      </w:r>
    </w:p>
    <w:p w:rsidR="0077438E" w:rsidRPr="00007306" w:rsidRDefault="0077438E" w:rsidP="0077438E">
      <w:pPr>
        <w:numPr>
          <w:ilvl w:val="1"/>
          <w:numId w:val="24"/>
        </w:numPr>
        <w:suppressAutoHyphens/>
        <w:spacing w:line="240" w:lineRule="auto"/>
        <w:ind w:left="720"/>
      </w:pPr>
      <w:r w:rsidRPr="00007306">
        <w:t xml:space="preserve">Dillon, J.K. et al. 2011, Both topography and climate affected forest and woodland burn severity in two regions of the western US, 1984 to 2006. Ecosphere 2: Article 130; </w:t>
      </w:r>
    </w:p>
    <w:p w:rsidR="0077438E" w:rsidRPr="00007306" w:rsidRDefault="0077438E" w:rsidP="0077438E">
      <w:pPr>
        <w:numPr>
          <w:ilvl w:val="1"/>
          <w:numId w:val="24"/>
        </w:numPr>
        <w:suppressAutoHyphens/>
        <w:spacing w:line="240" w:lineRule="auto"/>
        <w:ind w:left="720"/>
      </w:pPr>
      <w:r w:rsidRPr="00007306">
        <w:lastRenderedPageBreak/>
        <w:t xml:space="preserve">Hanson, C. T. and D.C. </w:t>
      </w:r>
      <w:proofErr w:type="spellStart"/>
      <w:r w:rsidRPr="00007306">
        <w:t>Odion</w:t>
      </w:r>
      <w:proofErr w:type="spellEnd"/>
      <w:r w:rsidRPr="00007306">
        <w:t xml:space="preserve">, 2014. “Is fire severity increasing in the Sierra Nevada, California, USA? International Journal of Wildland Fire 23: 1–8; </w:t>
      </w:r>
    </w:p>
    <w:p w:rsidR="0077438E" w:rsidRPr="00007306" w:rsidRDefault="0077438E" w:rsidP="0077438E">
      <w:pPr>
        <w:numPr>
          <w:ilvl w:val="1"/>
          <w:numId w:val="24"/>
        </w:numPr>
        <w:suppressAutoHyphens/>
        <w:spacing w:line="240" w:lineRule="auto"/>
        <w:ind w:left="720"/>
      </w:pPr>
      <w:r w:rsidRPr="00007306">
        <w:t xml:space="preserve">Hanson, C.T. and D.C. </w:t>
      </w:r>
      <w:proofErr w:type="spellStart"/>
      <w:r w:rsidRPr="00007306">
        <w:t>Odion</w:t>
      </w:r>
      <w:proofErr w:type="spellEnd"/>
      <w:r w:rsidRPr="00007306">
        <w:t xml:space="preserve">, 2015. Sierra Nevada fire severity conclusions are robust to further analysis: a reply to Safford et al. International Journal of Wildland Fire 24: 294-295; </w:t>
      </w:r>
    </w:p>
    <w:p w:rsidR="0077438E" w:rsidRPr="00007306" w:rsidRDefault="0077438E" w:rsidP="0077438E">
      <w:pPr>
        <w:numPr>
          <w:ilvl w:val="1"/>
          <w:numId w:val="24"/>
        </w:numPr>
        <w:suppressAutoHyphens/>
        <w:spacing w:line="240" w:lineRule="auto"/>
        <w:ind w:left="720"/>
      </w:pPr>
      <w:r w:rsidRPr="00007306">
        <w:t xml:space="preserve">Keyser, A. and A.L. </w:t>
      </w:r>
      <w:proofErr w:type="spellStart"/>
      <w:r w:rsidRPr="00007306">
        <w:t>Westerling</w:t>
      </w:r>
      <w:proofErr w:type="spellEnd"/>
      <w:r w:rsidRPr="00007306">
        <w:t xml:space="preserve"> 2017. Climate drives inter-annual variability in probability of high severity fire occurrence in the western United States. Environmental Research Letters 12 065003; </w:t>
      </w:r>
    </w:p>
    <w:p w:rsidR="0077438E" w:rsidRPr="00007306" w:rsidRDefault="0077438E" w:rsidP="0077438E">
      <w:pPr>
        <w:numPr>
          <w:ilvl w:val="1"/>
          <w:numId w:val="24"/>
        </w:numPr>
        <w:suppressAutoHyphens/>
        <w:spacing w:line="240" w:lineRule="auto"/>
        <w:ind w:left="720"/>
      </w:pPr>
      <w:r w:rsidRPr="00007306">
        <w:t xml:space="preserve">Miller, J.D. et al. 2012. Trends and causes of severity, size, and number of fires in northwestern California, USA. Ecological Applications 22: 184-203; </w:t>
      </w:r>
    </w:p>
    <w:p w:rsidR="0077438E" w:rsidRPr="00007306" w:rsidRDefault="0077438E" w:rsidP="0077438E">
      <w:pPr>
        <w:numPr>
          <w:ilvl w:val="1"/>
          <w:numId w:val="24"/>
        </w:numPr>
        <w:suppressAutoHyphens/>
        <w:spacing w:line="240" w:lineRule="auto"/>
        <w:ind w:left="720"/>
      </w:pPr>
      <w:proofErr w:type="spellStart"/>
      <w:r w:rsidRPr="00007306">
        <w:t>Odion</w:t>
      </w:r>
      <w:proofErr w:type="spellEnd"/>
      <w:r w:rsidRPr="00007306">
        <w:t xml:space="preserve">, D.C. et al. 2014. Examining historical and current mixed-severity fire regimes in Ponderosa pine and mixed-conifer forests of western North America. </w:t>
      </w:r>
      <w:proofErr w:type="spellStart"/>
      <w:r w:rsidRPr="00007306">
        <w:t>PLoS</w:t>
      </w:r>
      <w:proofErr w:type="spellEnd"/>
      <w:r w:rsidRPr="00007306">
        <w:t xml:space="preserve"> ONE 9(2): e87852; </w:t>
      </w:r>
    </w:p>
    <w:p w:rsidR="0077438E" w:rsidRPr="00007306" w:rsidRDefault="0077438E" w:rsidP="0077438E">
      <w:pPr>
        <w:numPr>
          <w:ilvl w:val="1"/>
          <w:numId w:val="24"/>
        </w:numPr>
        <w:suppressAutoHyphens/>
        <w:spacing w:line="240" w:lineRule="auto"/>
        <w:ind w:left="720"/>
      </w:pPr>
      <w:proofErr w:type="spellStart"/>
      <w:r w:rsidRPr="00007306">
        <w:t>Picotte</w:t>
      </w:r>
      <w:proofErr w:type="spellEnd"/>
      <w:r w:rsidRPr="00007306">
        <w:t xml:space="preserve"> et al. 2016. 1984-2010 Trends in fire burn severity and area for the coterminous US. International Journal of Wildland Fire 25: 413-420; </w:t>
      </w:r>
    </w:p>
    <w:p w:rsidR="0077438E" w:rsidRDefault="0077438E" w:rsidP="0077438E">
      <w:pPr>
        <w:numPr>
          <w:ilvl w:val="1"/>
          <w:numId w:val="24"/>
        </w:numPr>
        <w:suppressAutoHyphens/>
        <w:spacing w:line="240" w:lineRule="auto"/>
        <w:ind w:left="720"/>
      </w:pPr>
      <w:proofErr w:type="spellStart"/>
      <w:r w:rsidRPr="00007306">
        <w:t>Schwind</w:t>
      </w:r>
      <w:proofErr w:type="spellEnd"/>
      <w:r w:rsidRPr="00007306">
        <w:t>, B. 2008. Monitoring trends in burn severity: report on the Pacific Northwest and Pacific Southwest fires (1984 to 2005). US Geological Survey.</w:t>
      </w:r>
    </w:p>
    <w:p w:rsidR="0077438E" w:rsidRDefault="0077438E" w:rsidP="0077438E"/>
    <w:p w:rsidR="0077438E" w:rsidRPr="00C40209" w:rsidRDefault="0077438E" w:rsidP="007F02FF">
      <w:pPr>
        <w:pStyle w:val="Subtitle"/>
        <w:ind w:left="360"/>
      </w:pPr>
      <w:bookmarkStart w:id="42" w:name="_Toc40443497"/>
      <w:r w:rsidRPr="00C40209">
        <w:t>Fire helps forests adapt to climate change. Removing large trees does not.</w:t>
      </w:r>
      <w:bookmarkEnd w:id="42"/>
    </w:p>
    <w:p w:rsidR="0077438E" w:rsidRDefault="0077438E" w:rsidP="0077438E">
      <w:pPr>
        <w:pStyle w:val="BodyText"/>
        <w:spacing w:after="0"/>
      </w:pPr>
      <w:r>
        <w:t>The whitepaper says “Under climate change, disturbance regimes will change further, leading to broadening changes in forest structure and species composition. Proactive management may be helpful to facilitate some transitions.” This statement is incomplete and misleading because, while it is true that fire activity may increase under climate change, it does not follow that the FS needs to remove large trees. If forests are going to become adapted to the future climate and the future disturbance regime, it needs to experience that disturbance regime, not be protected from it. The Forest Service should u</w:t>
      </w:r>
      <w:r w:rsidRPr="00440FE8">
        <w:t>se wildfires as an opportunity to facilitate establishment of current and future climate-adapted species and communities</w:t>
      </w:r>
      <w:r>
        <w:t>.</w:t>
      </w:r>
    </w:p>
    <w:p w:rsidR="0077438E" w:rsidRDefault="0077438E" w:rsidP="0077438E">
      <w:pPr>
        <w:pStyle w:val="BodyText"/>
        <w:spacing w:after="0"/>
      </w:pPr>
    </w:p>
    <w:p w:rsidR="0077438E" w:rsidRDefault="0077438E" w:rsidP="0077438E">
      <w:pPr>
        <w:ind w:left="720"/>
        <w:rPr>
          <w:noProof/>
        </w:rPr>
      </w:pPr>
      <w:r>
        <w:rPr>
          <w:noProof/>
        </w:rPr>
        <w:t>Wildfire is a global Earth system process that both integrates and influences many other interactions between ecosystem and the climate system. Fire mediates other ecosystem responses to changing climate, for example by modulating forest density and composition, and thus providing a mechanism by which ecosystems adapt to changing climate conditions. Uncertainties in key elements of climate projections could be compounded by nonlinear responses of fire to climate variability. Fires may also act as triggers for abrupt and irreversible change to novel configurations under Direct and indirect controls on annual wildfire area burned future climate [44], [83]. As climate change progresses, the projected changes in the area affected annually by fire may be an important multiplier of these effects in coming decades.</w:t>
      </w:r>
    </w:p>
    <w:p w:rsidR="0077438E" w:rsidRDefault="0077438E" w:rsidP="0077438E">
      <w:pPr>
        <w:rPr>
          <w:noProof/>
        </w:rPr>
      </w:pPr>
      <w:r>
        <w:rPr>
          <w:noProof/>
        </w:rPr>
        <w:t>Kitzberger T, Falk DA, Westerling AL, Swetnam TW (2017) Direct and indirect climate</w:t>
      </w:r>
    </w:p>
    <w:p w:rsidR="0077438E" w:rsidRDefault="0077438E" w:rsidP="0077438E">
      <w:pPr>
        <w:pStyle w:val="BodyText"/>
        <w:spacing w:after="0"/>
      </w:pPr>
      <w:r>
        <w:rPr>
          <w:noProof/>
        </w:rPr>
        <w:t>controls predict heterogeneous early-mid 21</w:t>
      </w:r>
      <w:r w:rsidRPr="00261B5D">
        <w:rPr>
          <w:noProof/>
          <w:vertAlign w:val="superscript"/>
        </w:rPr>
        <w:t>st</w:t>
      </w:r>
      <w:r>
        <w:rPr>
          <w:noProof/>
        </w:rPr>
        <w:t xml:space="preserve"> century wildfire burned area across western and boreal North America. PLoS ONE 12(12): e0188486. </w:t>
      </w:r>
      <w:hyperlink r:id="rId215" w:history="1">
        <w:r w:rsidRPr="005453DD">
          <w:rPr>
            <w:rStyle w:val="Hyperlink"/>
            <w:noProof/>
          </w:rPr>
          <w:t>https://doi.org/10.1371/journal.pone.0188486</w:t>
        </w:r>
      </w:hyperlink>
      <w:r>
        <w:rPr>
          <w:noProof/>
        </w:rPr>
        <w:t>.</w:t>
      </w:r>
    </w:p>
    <w:p w:rsidR="0077438E" w:rsidRPr="00440FE8" w:rsidRDefault="0077438E" w:rsidP="0077438E">
      <w:pPr>
        <w:pStyle w:val="BodyText"/>
        <w:spacing w:after="0"/>
      </w:pPr>
    </w:p>
    <w:p w:rsidR="0077438E" w:rsidRDefault="0077438E" w:rsidP="0077438E">
      <w:pPr>
        <w:pStyle w:val="BodyText"/>
        <w:spacing w:after="0"/>
        <w:ind w:left="720"/>
      </w:pPr>
      <w:r>
        <w:lastRenderedPageBreak/>
        <w:t xml:space="preserve">While increased wildfires can be a threat to biodiversity, especially in landscapes where habitat has been altered by logging and land-use change, they also provide a benefit by creating diverse early successional conditions and opportunities for natural or artificial regeneration of new genotypes and species that may be better adapted to the climate than those in existing stands. The challenge to planners and managers is deciding when and where to allow fires to burn and what to do afterwards. </w:t>
      </w:r>
    </w:p>
    <w:p w:rsidR="0077438E" w:rsidRDefault="0077438E" w:rsidP="0077438E">
      <w:pPr>
        <w:pStyle w:val="BodyText"/>
        <w:spacing w:after="0"/>
      </w:pPr>
      <w:r>
        <w:t xml:space="preserve">Spies, </w:t>
      </w:r>
      <w:proofErr w:type="spellStart"/>
      <w:r>
        <w:t>Geisen</w:t>
      </w:r>
      <w:proofErr w:type="spellEnd"/>
      <w:r>
        <w:t xml:space="preserve">, Franklin, Swanson, </w:t>
      </w:r>
      <w:proofErr w:type="spellStart"/>
      <w:r>
        <w:t>Lach</w:t>
      </w:r>
      <w:proofErr w:type="spellEnd"/>
      <w:r>
        <w:t xml:space="preserve">, Johnson 2010. Climate change adaptation strategies for federal forests of the Pacific Northwest, USA: ecological, policy, and socio-economic perspectives. Landscape Ecol. DOI 10.1007/s10980-010-9483-0. </w:t>
      </w:r>
      <w:hyperlink r:id="rId216" w:history="1">
        <w:r w:rsidRPr="005453DD">
          <w:rPr>
            <w:rStyle w:val="Hyperlink"/>
          </w:rPr>
          <w:t>https://www.fs.fed.us/pnw/pubs/journals/pnw_2010_spies001.pdf</w:t>
        </w:r>
      </w:hyperlink>
      <w:r>
        <w:t xml:space="preserve"> </w:t>
      </w:r>
    </w:p>
    <w:p w:rsidR="00977740" w:rsidRDefault="00977740" w:rsidP="0077438E">
      <w:pPr>
        <w:pStyle w:val="BodyText"/>
        <w:spacing w:after="0"/>
      </w:pPr>
    </w:p>
    <w:p w:rsidR="0077438E" w:rsidRPr="007F02FF" w:rsidRDefault="0077438E" w:rsidP="007F02FF">
      <w:pPr>
        <w:pStyle w:val="Subtitle"/>
        <w:ind w:left="720"/>
        <w:rPr>
          <w:b/>
        </w:rPr>
      </w:pPr>
      <w:bookmarkStart w:id="43" w:name="_Toc40443498"/>
      <w:r w:rsidRPr="007F02FF">
        <w:rPr>
          <w:b/>
        </w:rPr>
        <w:t>Ecological restoration does not require commercial logging, especially not large trees</w:t>
      </w:r>
      <w:bookmarkEnd w:id="43"/>
    </w:p>
    <w:p w:rsidR="0077438E" w:rsidRDefault="0077438E" w:rsidP="0077438E">
      <w:pPr>
        <w:tabs>
          <w:tab w:val="left" w:pos="7920"/>
        </w:tabs>
      </w:pPr>
      <w:r>
        <w:t xml:space="preserve">The whitepaper says “The eastside federal timber supply is important to supporting local mills, which are necessary for making restorative treatments financially feasible. … Including larger trees in restoration prescriptions can increase the acres where fuel treatments are financially feasible.” This statement is incomplete and misleading because it fails to account for the extensive adverse trade-offs caused by commercial logging, especially removal of large trees. Those trade-offs include: water pollution, carbon emissions, habitat loss, degraded scenic/recreation values, weeds, soil erosion, etc. Alternatives that are not adequately considered include greater reliance on non-commercial thinning, prescribed fire, road/weed removal, and service contracts. </w:t>
      </w:r>
    </w:p>
    <w:p w:rsidR="0077438E" w:rsidRDefault="0077438E" w:rsidP="0077438E">
      <w:pPr>
        <w:tabs>
          <w:tab w:val="left" w:pos="7920"/>
        </w:tabs>
      </w:pPr>
    </w:p>
    <w:p w:rsidR="0077438E" w:rsidRDefault="0077438E" w:rsidP="0077438E">
      <w:pPr>
        <w:tabs>
          <w:tab w:val="left" w:pos="7920"/>
        </w:tabs>
      </w:pPr>
      <w:r>
        <w:t xml:space="preserve">Real restoration requires an investment in our forests, not more profit-taking through removal of large trees. In fact, if large trees are taken it’s arguably not restoration any more. The Report to the President that forms the foundation for the National Fire Plan recommends that we “Invest in Projects to Reduce Fire Risk. </w:t>
      </w:r>
      <w:r>
        <w:rPr>
          <w:b/>
        </w:rPr>
        <w:t>Addressing the brush, small trees, and downed material</w:t>
      </w:r>
      <w:r>
        <w:t xml:space="preserve"> that have accumulated in many forests because of past management activities, especially a century of suppressing wildland fires, </w:t>
      </w:r>
      <w:r>
        <w:rPr>
          <w:b/>
        </w:rPr>
        <w:t>will require significant investments</w:t>
      </w:r>
      <w:r>
        <w:t xml:space="preserve"> to treat landscapes through thinning and prescribed fire.” Whitehouse. Managing the Impact of Wildfires on Communities and the Environment. A Report to the President In Response to the Wildfires of 2000. September 8, 2000. </w:t>
      </w:r>
      <w:hyperlink r:id="rId217" w:history="1">
        <w:r>
          <w:rPr>
            <w:rStyle w:val="Hyperlink"/>
          </w:rPr>
          <w:t>http://www.forestsandrangelands.gov/resources/reports/documents/2001/8-20-en.pdf</w:t>
        </w:r>
      </w:hyperlink>
      <w:r>
        <w:t xml:space="preserve"> The main point here is that the fuels that need to be removed are small fuels, including brush and down wood that will require “investments” as opposed to commercial sized material. </w:t>
      </w:r>
      <w:proofErr w:type="spellStart"/>
      <w:r>
        <w:t>Rainville</w:t>
      </w:r>
      <w:proofErr w:type="spellEnd"/>
      <w:r>
        <w:t xml:space="preserve"> et al (2008) found that large trees are simply not present in most of the stands in greatest need of thinning because they were previously </w:t>
      </w:r>
      <w:proofErr w:type="spellStart"/>
      <w:r>
        <w:t>clearcut</w:t>
      </w:r>
      <w:proofErr w:type="spellEnd"/>
      <w:r>
        <w:t xml:space="preserve"> or high-graded. The Forest Service has already removed too much of the economic value from these forests. Taking more large trees would not be restoration. “[E]</w:t>
      </w:r>
      <w:proofErr w:type="spellStart"/>
      <w:r w:rsidRPr="0022756E">
        <w:rPr>
          <w:bCs/>
        </w:rPr>
        <w:t>ven</w:t>
      </w:r>
      <w:proofErr w:type="spellEnd"/>
      <w:r w:rsidRPr="0022756E">
        <w:rPr>
          <w:bCs/>
        </w:rPr>
        <w:t xml:space="preserve"> when considered under the most favorable of assumptions, most densely stocked stands would not be treatable without significant investments</w:t>
      </w:r>
      <w:r w:rsidRPr="0022756E">
        <w:t>.”</w:t>
      </w:r>
      <w:r>
        <w:t xml:space="preserve"> </w:t>
      </w:r>
      <w:proofErr w:type="spellStart"/>
      <w:r>
        <w:t>Rainville</w:t>
      </w:r>
      <w:proofErr w:type="spellEnd"/>
      <w:r>
        <w:t xml:space="preserve">, Robert; White, Rachel; Barbour, Jamie, tech. eds. 2008. </w:t>
      </w:r>
      <w:r>
        <w:rPr>
          <w:u w:val="single"/>
        </w:rPr>
        <w:t xml:space="preserve">Assessment of timber availability from forest </w:t>
      </w:r>
      <w:r>
        <w:rPr>
          <w:u w:val="single"/>
        </w:rPr>
        <w:lastRenderedPageBreak/>
        <w:t>restoration within the Blue Mountains of Oregon</w:t>
      </w:r>
      <w:r>
        <w:t xml:space="preserve">. Gen. Tech. Rep. PNW-GTR-752. Portland, OR: U.S. Department of Agriculture, Forest Service, Pacific Northwest Research Station. 65 p. </w:t>
      </w:r>
      <w:hyperlink r:id="rId218" w:anchor="_blank" w:history="1">
        <w:r>
          <w:rPr>
            <w:rStyle w:val="Hyperlink"/>
          </w:rPr>
          <w:t>http://www.fs.fed.us/pnw/pubs/pnw_gtr752.pdf</w:t>
        </w:r>
      </w:hyperlink>
      <w:r>
        <w:t xml:space="preserve">. </w:t>
      </w:r>
    </w:p>
    <w:p w:rsidR="0077438E" w:rsidRDefault="0077438E" w:rsidP="0077438E">
      <w:pPr>
        <w:tabs>
          <w:tab w:val="left" w:pos="7920"/>
        </w:tabs>
      </w:pPr>
    </w:p>
    <w:p w:rsidR="0077438E" w:rsidRDefault="0077438E" w:rsidP="0077438E">
      <w:pPr>
        <w:tabs>
          <w:tab w:val="left" w:pos="7920"/>
        </w:tabs>
      </w:pPr>
      <w:r>
        <w:t>If the agency is sincerely interested in the most cost-effective way to restore forests for resilience, they should stop suppressing fire when weather conditions are favorable, and focus on managing via wild and prescribed fire. There is also plenty of work to do reducing road density, restoring degraded streams, removing weeds, etc.</w:t>
      </w:r>
    </w:p>
    <w:p w:rsidR="0077438E" w:rsidRDefault="0077438E" w:rsidP="0077438E"/>
    <w:p w:rsidR="0077438E" w:rsidRDefault="0077438E" w:rsidP="0077438E">
      <w:r>
        <w:t xml:space="preserve">The science whitepaper statement above also assumes that timber sales are an effective and desirable way to get restoration done. This is not well-supported. Under the banner of “pace &amp; scale” the agencies are moving across the landscape often using commercial logging as a tool to aggressively manage fuels and reducing stand density which causes significant cumulative impacts on soil, water, wildlife habitat, carbon storage, and other values. These public resources are now exposed to the unprecedented compound effects of logging, roads, and unavoidable fire. The agency thinks it has found great alignment between its desire for timber production, risk reduction, and other restoration goals, but this view is just too convenient. It requires constant validation and reassessment. The prevailing view that everything aligns is hiding significant trade-offs and causing the agency to overlook other viable options, such as decreasing reliance on logging and increasing reliance on fire as tools to achieve more optimal forest management outcomes. The accumulation of evidence does not support logging for fuel reduction as a sound strategy to manage fuel and fire. </w:t>
      </w:r>
    </w:p>
    <w:p w:rsidR="0077438E" w:rsidRDefault="0077438E" w:rsidP="0077438E">
      <w:pPr>
        <w:numPr>
          <w:ilvl w:val="0"/>
          <w:numId w:val="24"/>
        </w:numPr>
        <w:suppressAutoHyphens/>
        <w:spacing w:line="240" w:lineRule="auto"/>
      </w:pPr>
      <w:r>
        <w:rPr>
          <w:i/>
        </w:rPr>
        <w:t>Most fires are climate-driven, rather than fuel-</w:t>
      </w:r>
      <w:r w:rsidRPr="002B13B3">
        <w:rPr>
          <w:i/>
        </w:rPr>
        <w:t>driven.</w:t>
      </w:r>
      <w:r>
        <w:t xml:space="preserve"> The warming climate is likely to make this effect even more pronounced. </w:t>
      </w:r>
      <w:proofErr w:type="spellStart"/>
      <w:r>
        <w:t>Schoennagel</w:t>
      </w:r>
      <w:proofErr w:type="spellEnd"/>
      <w:r>
        <w:t xml:space="preserve"> et al 2017. Adapt to more wildfire in western North American forests as climate changes. </w:t>
      </w:r>
      <w:r w:rsidRPr="000B1A25">
        <w:t xml:space="preserve">PNAS </w:t>
      </w:r>
      <w:r>
        <w:t>2017</w:t>
      </w:r>
      <w:r w:rsidRPr="000B1A25">
        <w:t>; published ahead of print April 17, 2017</w:t>
      </w:r>
      <w:r>
        <w:t xml:space="preserve">. </w:t>
      </w:r>
      <w:hyperlink r:id="rId219" w:history="1">
        <w:r w:rsidRPr="00522DD0">
          <w:rPr>
            <w:rStyle w:val="Hyperlink"/>
          </w:rPr>
          <w:t>www.pnas.org/cgi/doi/10.1073/pnas.1617464114</w:t>
        </w:r>
      </w:hyperlink>
      <w:r>
        <w:t xml:space="preserve">; </w:t>
      </w:r>
      <w:r w:rsidRPr="0002375F">
        <w:t xml:space="preserve"> </w:t>
      </w:r>
      <w:hyperlink r:id="rId220" w:history="1">
        <w:r w:rsidRPr="00AA3131">
          <w:rPr>
            <w:rStyle w:val="Hyperlink"/>
          </w:rPr>
          <w:t>https://headwaterseconomics.org/wp-content/uploads/Adapt_To_More_Wildfire.pdf</w:t>
        </w:r>
      </w:hyperlink>
      <w:r w:rsidRPr="00AA3131">
        <w:t xml:space="preserve">; </w:t>
      </w:r>
      <w:proofErr w:type="spellStart"/>
      <w:r w:rsidRPr="00AA3131">
        <w:t>Odion</w:t>
      </w:r>
      <w:proofErr w:type="spellEnd"/>
      <w:r w:rsidRPr="00AA3131">
        <w:t xml:space="preserve">, D.C. et al 2014. Examining Historical and Current Mixed-Severity Fire Regimes in Ponderosa Pine and Mixed-Conifer Forests of Western North America. PLOS One. February 2014 | Volume 9 | Issue 2 </w:t>
      </w:r>
      <w:r w:rsidRPr="00AA3131">
        <w:rPr>
          <w:rStyle w:val="Hyperlink"/>
        </w:rPr>
        <w:t>http://www.californiachaparral.org/images/Odion_et_al_Historical_Current_Fire_Regimes_mixed_conifer_2014.pdf</w:t>
      </w:r>
      <w:r>
        <w:t>; S</w:t>
      </w:r>
      <w:r w:rsidRPr="00AA3131">
        <w:t xml:space="preserve">ee also, Alisa Keyser and Anthony </w:t>
      </w:r>
      <w:proofErr w:type="spellStart"/>
      <w:r w:rsidRPr="00AA3131">
        <w:t>Westerling</w:t>
      </w:r>
      <w:proofErr w:type="spellEnd"/>
      <w:r w:rsidRPr="00AA3131">
        <w:t xml:space="preserve">, 2017. Climate drives inter-annual variability in probability of high severity fire occurrence in the western United States, Environmental Research Letters. Accepted Manuscript online 4 April 2017 </w:t>
      </w:r>
      <w:hyperlink r:id="rId221" w:history="1">
        <w:r w:rsidRPr="00040913">
          <w:rPr>
            <w:rStyle w:val="Hyperlink"/>
          </w:rPr>
          <w:t>https://doi.org/10.1088/1748-9326/aa6b10</w:t>
        </w:r>
      </w:hyperlink>
      <w:r>
        <w:t>.</w:t>
      </w:r>
    </w:p>
    <w:p w:rsidR="0077438E" w:rsidRPr="002B13B3" w:rsidRDefault="0077438E" w:rsidP="0077438E">
      <w:pPr>
        <w:numPr>
          <w:ilvl w:val="0"/>
          <w:numId w:val="24"/>
        </w:numPr>
        <w:suppressAutoHyphens/>
        <w:spacing w:line="240" w:lineRule="auto"/>
        <w:rPr>
          <w:i/>
        </w:rPr>
      </w:pPr>
      <w:r w:rsidRPr="002B13B3">
        <w:rPr>
          <w:i/>
        </w:rPr>
        <w:t xml:space="preserve">There is </w:t>
      </w:r>
      <w:r>
        <w:rPr>
          <w:i/>
        </w:rPr>
        <w:t>NOT</w:t>
      </w:r>
      <w:r w:rsidRPr="002B13B3">
        <w:rPr>
          <w:i/>
        </w:rPr>
        <w:t xml:space="preserve"> a significant trend toward more severe fires in the west. </w:t>
      </w:r>
    </w:p>
    <w:p w:rsidR="0077438E" w:rsidRDefault="0077438E" w:rsidP="0077438E">
      <w:pPr>
        <w:numPr>
          <w:ilvl w:val="1"/>
          <w:numId w:val="24"/>
        </w:numPr>
        <w:suppressAutoHyphens/>
        <w:spacing w:line="240" w:lineRule="auto"/>
      </w:pPr>
      <w:r>
        <w:t xml:space="preserve">[See above.] </w:t>
      </w:r>
    </w:p>
    <w:p w:rsidR="0077438E" w:rsidRDefault="0077438E" w:rsidP="0077438E">
      <w:pPr>
        <w:numPr>
          <w:ilvl w:val="0"/>
          <w:numId w:val="24"/>
        </w:numPr>
        <w:suppressAutoHyphens/>
        <w:spacing w:line="240" w:lineRule="auto"/>
      </w:pPr>
      <w:r w:rsidRPr="00AF51F8">
        <w:rPr>
          <w:i/>
        </w:rPr>
        <w:t>There is a relatively low probability that fuel treatments will interact with wildfire before fuels regrow and render the fuel reduction effort ineffective</w:t>
      </w:r>
      <w:r>
        <w:t>. “</w:t>
      </w:r>
      <w:r w:rsidRPr="00EC023D">
        <w:t>A recent study conducted by researchers at the University of Montana found that only about 7 percent of fuel-reduction treatment areas in the entire United States were subsequently hit by wildfires since 1999</w:t>
      </w:r>
      <w:r>
        <w:t xml:space="preserve">. … </w:t>
      </w:r>
      <w:r w:rsidRPr="00EC023D">
        <w:t xml:space="preserve">If someone had the magical ability to predict, within the past decade, that a major fire was going to strike that particular portion of the 240,000-acre Scapegoat Wilderness, then </w:t>
      </w:r>
      <w:r w:rsidRPr="00EC023D">
        <w:lastRenderedPageBreak/>
        <w:t>thinning and logging theoretically could have helped. But it doesn’t work that way, and fires are sparked in random places by lightning and humans, and they are pushed by erratic winds and weather.</w:t>
      </w:r>
      <w:r>
        <w:t xml:space="preserve"> … </w:t>
      </w:r>
      <w:r w:rsidRPr="00EC023D">
        <w:t xml:space="preserve">According to Tania </w:t>
      </w:r>
      <w:proofErr w:type="spellStart"/>
      <w:r w:rsidRPr="00EC023D">
        <w:t>Schoennagel</w:t>
      </w:r>
      <w:proofErr w:type="spellEnd"/>
      <w:r w:rsidRPr="00EC023D">
        <w:t>, a forest landscape ecologist and fire researcher at the University of Colorado,</w:t>
      </w:r>
      <w:r>
        <w:t xml:space="preserve"> … ‘</w:t>
      </w:r>
      <w:r w:rsidRPr="00EC023D">
        <w:t>it’s little bit of a crapshoot probability game whether the treatment you put in is going to encounter wildfire in the 10 to 15 years it remains effective in reducing fire severity. Simply because forests in the West are so vast, the chance of burning in a place we’ve pre-treated is so low. It’s not a very effective lever. We don’t know w</w:t>
      </w:r>
      <w:r>
        <w:t xml:space="preserve">here fires are going to happen.’” David Erickson (2017). Experts: More logging and thinning to battle wildfires might just burn taxpayer dollars. CREDIT: MISSOULIAN.COM. Oct 1, 2017. </w:t>
      </w:r>
      <w:hyperlink r:id="rId222" w:history="1">
        <w:r w:rsidRPr="00BD7132">
          <w:rPr>
            <w:rStyle w:val="Hyperlink"/>
          </w:rPr>
          <w:t>http://www.america.easybranches.com/montana/Experts--More-logging-and-thinning-to-battle-wildfires-might-just-burn-taxpayer-dollars-152776</w:t>
        </w:r>
      </w:hyperlink>
      <w:r>
        <w:t xml:space="preserve"> </w:t>
      </w:r>
      <w:r w:rsidRPr="00AF51F8">
        <w:rPr>
          <w:i/>
        </w:rPr>
        <w:t>citing</w:t>
      </w:r>
      <w:r>
        <w:t xml:space="preserve"> Kevin Barnett, Sean A. Parks, Carol Miller, and Helen T. Naughton. 2016. Beyond Fuel Treatment Effectiveness: Characterizing Interactions between Fire and Treatments in the US. </w:t>
      </w:r>
      <w:r w:rsidRPr="00603293">
        <w:t xml:space="preserve">Forests </w:t>
      </w:r>
      <w:r>
        <w:t xml:space="preserve">[open access] </w:t>
      </w:r>
      <w:r w:rsidRPr="00603293">
        <w:t>2016, 7, 237; doi:10.3390/f7100237</w:t>
      </w:r>
      <w:r>
        <w:t xml:space="preserve">. </w:t>
      </w:r>
      <w:hyperlink r:id="rId223" w:history="1">
        <w:r w:rsidRPr="00C52D6F">
          <w:rPr>
            <w:rStyle w:val="Hyperlink"/>
          </w:rPr>
          <w:t>http://www.mdpi.com/1999-4907/7/10/237</w:t>
        </w:r>
      </w:hyperlink>
      <w:r>
        <w:t xml:space="preserve">. See also, William L. Baker, Jonathan J. Rhodes. 2008. Fire Probability, Fuel Treatment Effectiveness and Ecological Tradeoffs in Western U.S. Public Forests. pp.1-7 (7). The Open Forest Science Journal, Volume 1. 2008. </w:t>
      </w:r>
      <w:hyperlink r:id="rId224" w:history="1">
        <w:r w:rsidRPr="00522DD0">
          <w:rPr>
            <w:rStyle w:val="Hyperlink"/>
          </w:rPr>
          <w:t>http://api.ning.com/files/1kp0vDW*F1cqOeO4-GdXE1AHOATghmIAN2x9qLpH3aA_/FireandFuelTreatments.pdf</w:t>
        </w:r>
      </w:hyperlink>
      <w:r>
        <w:t>; “</w:t>
      </w:r>
      <w:r w:rsidRPr="00941674">
        <w:t>According to a recent analysis, annually less than one percent of U.S. Forest Service fuel reduction treatments in forested areas subsequently burned, on average. From 2000 to 2015, almost 17 million acres of federal land were treated for fuels reduction, equating to approximately four percent of U.S. Forest Service and Bureau of Land Management lands. During the same time period, more than 93 million acres burned. The odds of putting fuel treatments in the wrong place are extremely high.</w:t>
      </w:r>
      <w:r>
        <w:t>” Pohl, Kelly 2019. “</w:t>
      </w:r>
      <w:r w:rsidRPr="00941674">
        <w:t>For communities</w:t>
      </w:r>
      <w:r>
        <w:t>,</w:t>
      </w:r>
      <w:r w:rsidRPr="00941674">
        <w:t xml:space="preserve"> land use planning is more effective than logging on federal lands to reduce future wildfire disasters.</w:t>
      </w:r>
      <w:r>
        <w:t xml:space="preserve">” </w:t>
      </w:r>
      <w:hyperlink r:id="rId225" w:history="1">
        <w:r w:rsidRPr="006203F5">
          <w:rPr>
            <w:rStyle w:val="Hyperlink"/>
          </w:rPr>
          <w:t>https://headwaterseconomics.org/wildfire/solutions/land-use-planning-is-more-effective/</w:t>
        </w:r>
      </w:hyperlink>
      <w:r>
        <w:t>. Also, “In real landscapes treatments are static, restricted to a small portion of the landscape and against a background of stochastic fire and dynamic vegetation, thus the likelihood of fire encountering a treatment during the period treatments remain effective is small. ... Allocating priorities to treat based on merchantable timber (THIN), vegetation departure (VDEP), area suitable for prescribed fire and restoration wildfire (FIRE) and conditional flame length (CFL) had similar or lower success odds than random allocation ... [S]</w:t>
      </w:r>
      <w:proofErr w:type="spellStart"/>
      <w:r>
        <w:t>uccess</w:t>
      </w:r>
      <w:proofErr w:type="spellEnd"/>
      <w:r>
        <w:t xml:space="preserve"> odds declined sharply as desired success levels increased suggesting that fuel management goals need to be tempered to consider the stochastic nature of wildfire.” </w:t>
      </w:r>
      <w:r w:rsidRPr="00AF51F8">
        <w:t xml:space="preserve">Barros, Ana M. G.; Ager, A. A.; Day, M. A.; </w:t>
      </w:r>
      <w:proofErr w:type="spellStart"/>
      <w:r w:rsidRPr="00AF51F8">
        <w:t>Palaiologou</w:t>
      </w:r>
      <w:proofErr w:type="spellEnd"/>
      <w:r w:rsidRPr="00AF51F8">
        <w:t>, P. 2019. Improving long-term fuel treatment effectiveness in the National Forest System through quantitative prioritization. Forest Ecology and Management. 433: 514-527.</w:t>
      </w:r>
      <w:r>
        <w:t xml:space="preserve"> </w:t>
      </w:r>
      <w:hyperlink r:id="rId226" w:history="1">
        <w:r>
          <w:rPr>
            <w:rStyle w:val="Hyperlink"/>
          </w:rPr>
          <w:t>https://www.fs.fed.us/rm/pubs_journals/2019/rmrs_2019_barros_a001.pdf</w:t>
        </w:r>
      </w:hyperlink>
      <w:r>
        <w:t>.</w:t>
      </w:r>
    </w:p>
    <w:p w:rsidR="0077438E" w:rsidRDefault="0077438E" w:rsidP="0077438E">
      <w:pPr>
        <w:numPr>
          <w:ilvl w:val="0"/>
          <w:numId w:val="24"/>
        </w:numPr>
        <w:suppressAutoHyphens/>
        <w:spacing w:line="240" w:lineRule="auto"/>
      </w:pPr>
      <w:r w:rsidRPr="00AF51F8">
        <w:rPr>
          <w:i/>
        </w:rPr>
        <w:t>The effects of fuel reduction are modest</w:t>
      </w:r>
      <w:r>
        <w:t xml:space="preserve">. Even extensive fuel reduction reduces the extent of wildfire by less than 10 percent. See </w:t>
      </w:r>
      <w:r>
        <w:rPr>
          <w:color w:val="000000"/>
        </w:rPr>
        <w:t xml:space="preserve">M. A. Cochrane, C. J. Moran, M. C. </w:t>
      </w:r>
      <w:proofErr w:type="spellStart"/>
      <w:r>
        <w:rPr>
          <w:color w:val="000000"/>
        </w:rPr>
        <w:t>Wimberly</w:t>
      </w:r>
      <w:proofErr w:type="spellEnd"/>
      <w:r>
        <w:rPr>
          <w:color w:val="000000"/>
        </w:rPr>
        <w:t xml:space="preserve">, A. D. Baer, M. A. Finney, K. L. </w:t>
      </w:r>
      <w:proofErr w:type="spellStart"/>
      <w:r>
        <w:rPr>
          <w:color w:val="000000"/>
        </w:rPr>
        <w:t>Beckendorf</w:t>
      </w:r>
      <w:proofErr w:type="spellEnd"/>
      <w:r>
        <w:rPr>
          <w:color w:val="000000"/>
        </w:rPr>
        <w:t xml:space="preserve">, J. </w:t>
      </w:r>
      <w:proofErr w:type="spellStart"/>
      <w:r>
        <w:rPr>
          <w:color w:val="000000"/>
        </w:rPr>
        <w:t>Eidenshink</w:t>
      </w:r>
      <w:proofErr w:type="spellEnd"/>
      <w:r>
        <w:rPr>
          <w:color w:val="000000"/>
        </w:rPr>
        <w:t xml:space="preserve">, and Z. Zhu. 2012. Estimation of wildfire size and risk changes due to fuels treatments. International Journal of Wildland Fire.  </w:t>
      </w:r>
      <w:hyperlink r:id="rId227" w:history="1">
        <w:r w:rsidRPr="00522DD0">
          <w:rPr>
            <w:rStyle w:val="Hyperlink"/>
          </w:rPr>
          <w:t>http://dx.doi.org/10.1071/WF11079</w:t>
        </w:r>
      </w:hyperlink>
      <w:r>
        <w:rPr>
          <w:color w:val="000000"/>
        </w:rPr>
        <w:t>.  </w:t>
      </w:r>
      <w:hyperlink r:id="rId228" w:history="1">
        <w:r>
          <w:rPr>
            <w:rStyle w:val="Hyperlink"/>
          </w:rPr>
          <w:t>http://www.publish.csiro.au/?act=view_file&amp;file_id=WF11079.pdf</w:t>
        </w:r>
      </w:hyperlink>
      <w:r>
        <w:t xml:space="preserve">. Andrew Larson, a forest ecologist from the University of Montana said </w:t>
      </w:r>
    </w:p>
    <w:p w:rsidR="0077438E" w:rsidRDefault="0077438E" w:rsidP="0077438E">
      <w:pPr>
        <w:ind w:left="720"/>
      </w:pPr>
      <w:r w:rsidRPr="000474DD">
        <w:lastRenderedPageBreak/>
        <w:t>"Even after you go and thin a forest, when it's dry like it is now, it's still going to carry a fire, it's still going to generate smoke. So, in terms of day to day life, the experience we have during the fire season, we need to not get our hopes up," Larson says. "You can anticipate more smoke. Even if we were to double, triple, increase the amount of area logged or thinned by a factor of ten or 20, we're still going have smoke, we're not going to stop the fires. We may change how they burn, and that's an important outcome, it's something that a lot of my research is directed at. But we need to make sure people don't get their hopes up and expect something that the forestry profession, that managers in the Forest Service, the Department of Interior, can't deliver on."</w:t>
      </w:r>
    </w:p>
    <w:p w:rsidR="0077438E" w:rsidRDefault="0077438E" w:rsidP="0077438E">
      <w:pPr>
        <w:ind w:left="360"/>
      </w:pPr>
      <w:r>
        <w:t xml:space="preserve">ERIC WHITNEY 2017. Forest Ecologist Comments On Senator </w:t>
      </w:r>
      <w:proofErr w:type="spellStart"/>
      <w:r>
        <w:t>Daines</w:t>
      </w:r>
      <w:proofErr w:type="spellEnd"/>
      <w:r>
        <w:t xml:space="preserve">' Fire Call. Montana Public Radio. Sept 14, 2017. </w:t>
      </w:r>
      <w:hyperlink r:id="rId229" w:history="1">
        <w:r w:rsidRPr="00864F09">
          <w:rPr>
            <w:rStyle w:val="Hyperlink"/>
          </w:rPr>
          <w:t>http://mtpr.org/post/forest-ecologist-comments-senator-daines-fire-call</w:t>
        </w:r>
      </w:hyperlink>
      <w:r>
        <w:t xml:space="preserve">. Also, </w:t>
      </w:r>
      <w:proofErr w:type="spellStart"/>
      <w:r>
        <w:t>Hurteau</w:t>
      </w:r>
      <w:proofErr w:type="spellEnd"/>
      <w:r>
        <w:t xml:space="preserve"> et al (2019) found that “</w:t>
      </w:r>
      <w:r w:rsidRPr="001B4CE0">
        <w:t>fuel availability and flammability only reduced the cumulative area burned in the Sierra by about 7.5 percent over the course of the century</w:t>
      </w:r>
      <w:r>
        <w:t xml:space="preserve"> ... because vegetation re-growth</w:t>
      </w:r>
    </w:p>
    <w:p w:rsidR="0077438E" w:rsidRDefault="0077438E" w:rsidP="0077438E">
      <w:pPr>
        <w:ind w:left="360"/>
      </w:pPr>
      <w:r>
        <w:t xml:space="preserve">happens with </w:t>
      </w:r>
      <w:proofErr w:type="spellStart"/>
      <w:r>
        <w:t>sufcient</w:t>
      </w:r>
      <w:proofErr w:type="spellEnd"/>
      <w:r>
        <w:t xml:space="preserve"> speed that the fuel limitation </w:t>
      </w:r>
      <w:proofErr w:type="spellStart"/>
      <w:r>
        <w:t>efects</w:t>
      </w:r>
      <w:proofErr w:type="spellEnd"/>
      <w:r>
        <w:t xml:space="preserve"> from </w:t>
      </w:r>
      <w:proofErr w:type="spellStart"/>
      <w:r>
        <w:t>fre</w:t>
      </w:r>
      <w:proofErr w:type="spellEnd"/>
      <w:r>
        <w:t xml:space="preserve"> are short-lived.” Matthew D. </w:t>
      </w:r>
      <w:proofErr w:type="spellStart"/>
      <w:r>
        <w:t>Hurteau</w:t>
      </w:r>
      <w:proofErr w:type="spellEnd"/>
      <w:r>
        <w:t xml:space="preserve">, </w:t>
      </w:r>
      <w:proofErr w:type="spellStart"/>
      <w:r>
        <w:t>Shuang</w:t>
      </w:r>
      <w:proofErr w:type="spellEnd"/>
      <w:r>
        <w:t xml:space="preserve"> Liang, A. LeRoy </w:t>
      </w:r>
      <w:proofErr w:type="spellStart"/>
      <w:r>
        <w:t>Westerling</w:t>
      </w:r>
      <w:proofErr w:type="spellEnd"/>
      <w:r>
        <w:t xml:space="preserve"> &amp; Christine </w:t>
      </w:r>
      <w:proofErr w:type="spellStart"/>
      <w:r>
        <w:t>Wiedinmyer</w:t>
      </w:r>
      <w:proofErr w:type="spellEnd"/>
      <w:r>
        <w:t xml:space="preserve"> 2019.  Vegetation-fire feedback reduces projected area burned under climate change. Scientific Reports, volume 9, Article number: 2838 (2019), </w:t>
      </w:r>
      <w:hyperlink r:id="rId230" w:history="1">
        <w:r w:rsidRPr="00EB0CFC">
          <w:rPr>
            <w:rStyle w:val="Hyperlink"/>
          </w:rPr>
          <w:t>https://www.nature.com/articles/s41598-019-39284-1</w:t>
        </w:r>
      </w:hyperlink>
      <w:r>
        <w:t xml:space="preserve">; </w:t>
      </w:r>
      <w:hyperlink r:id="rId231" w:history="1">
        <w:r w:rsidRPr="00EB0CFC">
          <w:rPr>
            <w:rStyle w:val="Hyperlink"/>
          </w:rPr>
          <w:t>https://doi.org/10.1038/s41598-019-39284-1</w:t>
        </w:r>
      </w:hyperlink>
      <w:r>
        <w:t xml:space="preserve">; </w:t>
      </w:r>
      <w:hyperlink r:id="rId232" w:history="1">
        <w:r w:rsidRPr="00EB0CFC">
          <w:rPr>
            <w:rStyle w:val="Hyperlink"/>
          </w:rPr>
          <w:t>https://news.ucmerced.edu/news/2019/scientists-simulate-forest-fire-dynamics-understand-area-burn-future-wildfires</w:t>
        </w:r>
      </w:hyperlink>
      <w:r>
        <w:t xml:space="preserve">  </w:t>
      </w:r>
    </w:p>
    <w:p w:rsidR="0077438E" w:rsidRPr="00724CCD" w:rsidRDefault="0077438E" w:rsidP="0077438E">
      <w:pPr>
        <w:numPr>
          <w:ilvl w:val="0"/>
          <w:numId w:val="24"/>
        </w:numPr>
        <w:shd w:val="clear" w:color="auto" w:fill="FFFFFF"/>
        <w:autoSpaceDE w:val="0"/>
        <w:spacing w:line="240" w:lineRule="auto"/>
        <w:rPr>
          <w:rFonts w:eastAsia="Times New Roman"/>
          <w:color w:val="222222"/>
        </w:rPr>
      </w:pPr>
      <w:r w:rsidRPr="00724CCD">
        <w:rPr>
          <w:i/>
        </w:rPr>
        <w:t>Commercial logging will often make fire hazard worse, not better</w:t>
      </w:r>
      <w:r>
        <w:t xml:space="preserve">. Reducing the forest canopy will make the stand hotter, drier, and windier, produce more activity fuels, and stimulate the growth of ladder fuels. Professor Char Miller said “… </w:t>
      </w:r>
      <w:r w:rsidRPr="00010B84">
        <w:t>decades of data show that intense logging creates more destructive fires than the ones that burn through roadless areas, parkland and wilderness.</w:t>
      </w:r>
      <w:r>
        <w:t xml:space="preserve">” Char Miller. 2017. </w:t>
      </w:r>
      <w:r w:rsidRPr="00010B84">
        <w:t>Op-Ed</w:t>
      </w:r>
      <w:r>
        <w:t>:</w:t>
      </w:r>
      <w:r w:rsidRPr="00010B84">
        <w:t xml:space="preserve"> What the Trump administration doesn't understand about wildfires</w:t>
      </w:r>
      <w:r>
        <w:t xml:space="preserve">. LA Times. Oct 1, 2017.  </w:t>
      </w:r>
      <w:hyperlink r:id="rId233" w:history="1">
        <w:r w:rsidRPr="00BD7132">
          <w:rPr>
            <w:rStyle w:val="Hyperlink"/>
          </w:rPr>
          <w:t>http://www.latimes.com/opinion/op-ed/la-oe-miller-zinke-fire-memo-20171001-story.html</w:t>
        </w:r>
      </w:hyperlink>
      <w:r>
        <w:t xml:space="preserve">. See also, </w:t>
      </w:r>
      <w:r w:rsidRPr="00724CCD">
        <w:t xml:space="preserve">Jain, Theresa B.; </w:t>
      </w:r>
      <w:proofErr w:type="spellStart"/>
      <w:r w:rsidRPr="00724CCD">
        <w:t>Battaglia</w:t>
      </w:r>
      <w:proofErr w:type="spellEnd"/>
      <w:r w:rsidRPr="00724CCD">
        <w:t xml:space="preserve">, Mike A.; Han, Han-Sup; Graham, Russell T.; Keyes, Christopher R.; Fried, Jeremy S.; </w:t>
      </w:r>
      <w:proofErr w:type="spellStart"/>
      <w:r w:rsidRPr="00724CCD">
        <w:t>Sandquist</w:t>
      </w:r>
      <w:proofErr w:type="spellEnd"/>
      <w:r w:rsidRPr="00724CCD">
        <w:t xml:space="preserve">, Jonathan E. 2012. A comprehensive guide to fuel management practices for dry mixed conifer forests in the northwestern United States. USDA Forest Service Gen. Tech. Rep. RMRS-GTR-292. 2012 </w:t>
      </w:r>
      <w:hyperlink r:id="rId234" w:history="1">
        <w:r w:rsidRPr="00724CCD">
          <w:rPr>
            <w:rStyle w:val="Hyperlink"/>
          </w:rPr>
          <w:t>http://www.firescience.gov/projects/09-2-01-16/project/09-2-01-16_09-2-01-16_rmrs_gtr292web.pdf</w:t>
        </w:r>
      </w:hyperlink>
      <w:r w:rsidRPr="00724CCD">
        <w:t>. A meta-</w:t>
      </w:r>
      <w:proofErr w:type="spellStart"/>
      <w:r w:rsidRPr="00724CCD">
        <w:t>analysi</w:t>
      </w:r>
      <w:proofErr w:type="spellEnd"/>
      <w:r w:rsidRPr="00724CCD">
        <w:t xml:space="preserve"> of the effects of partial cutting showed that understory growth was stimulated in all cases. </w:t>
      </w:r>
      <w:r>
        <w:rPr>
          <w:rStyle w:val="e"/>
        </w:rPr>
        <w:t xml:space="preserve">D. Zhou, S. Q. Zhao, S. Liu,  and J. </w:t>
      </w:r>
      <w:proofErr w:type="spellStart"/>
      <w:r>
        <w:rPr>
          <w:rStyle w:val="e"/>
        </w:rPr>
        <w:t>Oeding</w:t>
      </w:r>
      <w:proofErr w:type="spellEnd"/>
      <w:r>
        <w:rPr>
          <w:rStyle w:val="e"/>
        </w:rPr>
        <w:t xml:space="preserve">. 2013. </w:t>
      </w:r>
      <w:r w:rsidRPr="00597915">
        <w:rPr>
          <w:rStyle w:val="e"/>
        </w:rPr>
        <w:t>A meta-analysis on the impacts of partial cutting on forest structure</w:t>
      </w:r>
      <w:r>
        <w:rPr>
          <w:rStyle w:val="e"/>
        </w:rPr>
        <w:t xml:space="preserve"> </w:t>
      </w:r>
      <w:r w:rsidRPr="00597915">
        <w:rPr>
          <w:rStyle w:val="e"/>
        </w:rPr>
        <w:t>and carbon storage</w:t>
      </w:r>
      <w:r>
        <w:rPr>
          <w:rStyle w:val="e"/>
        </w:rPr>
        <w:t xml:space="preserve">. </w:t>
      </w:r>
      <w:proofErr w:type="spellStart"/>
      <w:r w:rsidRPr="00597915">
        <w:rPr>
          <w:rStyle w:val="e"/>
        </w:rPr>
        <w:t>Biogeosciences</w:t>
      </w:r>
      <w:proofErr w:type="spellEnd"/>
      <w:r w:rsidRPr="00597915">
        <w:rPr>
          <w:rStyle w:val="e"/>
        </w:rPr>
        <w:t>, 10, 3691–3703, 2013</w:t>
      </w:r>
      <w:r>
        <w:rPr>
          <w:rStyle w:val="e"/>
        </w:rPr>
        <w:t xml:space="preserve">. </w:t>
      </w:r>
      <w:hyperlink r:id="rId235" w:history="1">
        <w:r w:rsidRPr="00931733">
          <w:rPr>
            <w:rStyle w:val="Hyperlink"/>
          </w:rPr>
          <w:t>https://www.biogeosciences.net/10/3691/2013/bg-10-3691-2013.pdf</w:t>
        </w:r>
      </w:hyperlink>
      <w:r>
        <w:rPr>
          <w:rStyle w:val="e"/>
        </w:rPr>
        <w:t xml:space="preserve">. </w:t>
      </w:r>
      <w:r w:rsidRPr="00724CCD">
        <w:t>(“Understory C was stimulated significantly by partial cutting in all of the studies. This stimulation can be mostly attributed to an increase in the availability of light, water, and nutrients to the understory because of tree removal (</w:t>
      </w:r>
      <w:proofErr w:type="spellStart"/>
      <w:r w:rsidRPr="00724CCD">
        <w:t>Aussenac</w:t>
      </w:r>
      <w:proofErr w:type="spellEnd"/>
      <w:r w:rsidRPr="00724CCD">
        <w:t xml:space="preserve">, 2000; </w:t>
      </w:r>
      <w:proofErr w:type="spellStart"/>
      <w:r w:rsidRPr="00724CCD">
        <w:t>Kleintjes</w:t>
      </w:r>
      <w:proofErr w:type="spellEnd"/>
      <w:r w:rsidRPr="00724CCD">
        <w:t xml:space="preserve"> et al., 2004; Deal, 2007)”) </w:t>
      </w:r>
      <w:r>
        <w:t xml:space="preserve">Removing commercial sized logs as part of fuel reduction degrades habitat while doing little to modify fire behavior. If conducted at large scales, the effects of commercial logging for fuel </w:t>
      </w:r>
      <w:r>
        <w:lastRenderedPageBreak/>
        <w:t xml:space="preserve">reduction will be socially and ecologically unacceptable. </w:t>
      </w:r>
      <w:proofErr w:type="spellStart"/>
      <w:r w:rsidRPr="00724CCD">
        <w:rPr>
          <w:rFonts w:eastAsia="Times New Roman"/>
          <w:color w:val="000000"/>
        </w:rPr>
        <w:t>Lehmkuhl</w:t>
      </w:r>
      <w:proofErr w:type="spellEnd"/>
      <w:r w:rsidRPr="00724CCD">
        <w:rPr>
          <w:rFonts w:eastAsia="Times New Roman"/>
          <w:color w:val="000000"/>
        </w:rPr>
        <w:t>, John; Gaines, William; Peterson, Dave W.; Bailey, John; Youngblood, Andrew, tech. eds. 2015. Silviculture and monitoring guidelines for integrating restoration of dry mixed-conifer forest and spotted owl habitat management in the eastern Cascade Range. Gen. Tech. Rep. PNW-GTR-915. Portland, OR: U.S. Department of Agriculture, Forest Service, Pacific Northwest Research Station. 158 p. ​</w:t>
      </w:r>
      <w:hyperlink r:id="rId236" w:tgtFrame="_blank" w:history="1">
        <w:r w:rsidRPr="00724CCD">
          <w:rPr>
            <w:rFonts w:eastAsia="Times New Roman"/>
            <w:color w:val="1155CC"/>
            <w:u w:val="single"/>
            <w:shd w:val="clear" w:color="auto" w:fill="FFFFFF"/>
          </w:rPr>
          <w:t>http://www.fs.fed.us/pnw/pubs/pnw_gtr915.pdf</w:t>
        </w:r>
      </w:hyperlink>
      <w:r w:rsidRPr="00724CCD">
        <w:rPr>
          <w:rFonts w:eastAsia="Times New Roman"/>
        </w:rPr>
        <w:t>. (“</w:t>
      </w:r>
      <w:r w:rsidRPr="00724CCD">
        <w:rPr>
          <w:rFonts w:eastAsia="Times New Roman"/>
          <w:bCs/>
          <w:color w:val="222222"/>
        </w:rPr>
        <w:t>Tradeoffs between fire resistance and NSO habitat quality are real.</w:t>
      </w:r>
      <w:r w:rsidRPr="00724CCD">
        <w:rPr>
          <w:rFonts w:eastAsia="Times New Roman"/>
          <w:b/>
          <w:bCs/>
          <w:color w:val="222222"/>
        </w:rPr>
        <w:t> </w:t>
      </w:r>
      <w:r w:rsidRPr="00724CCD">
        <w:rPr>
          <w:rFonts w:eastAsia="Times New Roman"/>
          <w:color w:val="222222"/>
        </w:rPr>
        <w:t>Our results demonstrate that balancing the goals of increasing fire resilience while maintaining habitat function, especially nesting and roosting, for the NSO in the same individual stand is a difficult, if not an impossible, task. Even lighter thinning treatments typically reduce canopy cover below 40 percent. The reality is that nesting and roosting NSO habitat is by definition very susceptible to high-severity fire; owl habitat value and fire risk are in direct conflict on any given acre. …”). Montana</w:t>
      </w:r>
      <w:r>
        <w:rPr>
          <w:rFonts w:eastAsia="Times New Roman"/>
          <w:color w:val="222222"/>
        </w:rPr>
        <w:t xml:space="preserve"> Public Radio reported on Senat</w:t>
      </w:r>
      <w:r w:rsidRPr="00724CCD">
        <w:rPr>
          <w:rFonts w:eastAsia="Times New Roman"/>
          <w:color w:val="222222"/>
        </w:rPr>
        <w:t>o</w:t>
      </w:r>
      <w:r>
        <w:rPr>
          <w:rFonts w:eastAsia="Times New Roman"/>
          <w:color w:val="222222"/>
        </w:rPr>
        <w:t>r</w:t>
      </w:r>
      <w:r w:rsidRPr="00724CCD">
        <w:rPr>
          <w:rFonts w:eastAsia="Times New Roman"/>
          <w:color w:val="222222"/>
        </w:rPr>
        <w:t xml:space="preserve"> </w:t>
      </w:r>
      <w:proofErr w:type="spellStart"/>
      <w:r w:rsidRPr="00724CCD">
        <w:rPr>
          <w:rFonts w:eastAsia="Times New Roman"/>
          <w:color w:val="222222"/>
        </w:rPr>
        <w:t>Daines</w:t>
      </w:r>
      <w:proofErr w:type="spellEnd"/>
      <w:r w:rsidRPr="00724CCD">
        <w:rPr>
          <w:rFonts w:eastAsia="Times New Roman"/>
          <w:color w:val="222222"/>
        </w:rPr>
        <w:t xml:space="preserve"> statement that “’radical environmentalists’ would try to stop efforts to remove dead trees from Montana forests. [Ecologist Andrew Larson said] "That's an attitude that I'm always kind of disappointed to encounter," Larson said, "because a healthy forest has dead trees and dead wood. The snags — standing dead trees — and dead logs are some of the most important habitat features for biodiversity. You can't have an intact, healthy wildlife community without dead wood in your forest." </w:t>
      </w:r>
      <w:r>
        <w:t xml:space="preserve">ERIC WHITNEY 2017. Forest Ecologist Comments On Senator </w:t>
      </w:r>
      <w:proofErr w:type="spellStart"/>
      <w:r>
        <w:t>Daines</w:t>
      </w:r>
      <w:proofErr w:type="spellEnd"/>
      <w:r>
        <w:t xml:space="preserve">' Fire Call. Montana Public Radio. Sept 14, 2017. </w:t>
      </w:r>
      <w:hyperlink r:id="rId237" w:history="1">
        <w:r w:rsidRPr="00864F09">
          <w:rPr>
            <w:rStyle w:val="Hyperlink"/>
          </w:rPr>
          <w:t>http://mtpr.org/post/forest-ecologist-comments-senator-daines-fire-call</w:t>
        </w:r>
      </w:hyperlink>
      <w:r>
        <w:t xml:space="preserve">; </w:t>
      </w:r>
    </w:p>
    <w:p w:rsidR="0077438E" w:rsidRPr="00724CCD" w:rsidRDefault="0077438E" w:rsidP="0077438E">
      <w:pPr>
        <w:numPr>
          <w:ilvl w:val="0"/>
          <w:numId w:val="24"/>
        </w:numPr>
        <w:shd w:val="clear" w:color="auto" w:fill="FFFFFF"/>
        <w:autoSpaceDE w:val="0"/>
        <w:spacing w:line="240" w:lineRule="auto"/>
        <w:rPr>
          <w:rFonts w:eastAsia="Times New Roman"/>
          <w:color w:val="222222"/>
        </w:rPr>
      </w:pPr>
      <w:r w:rsidRPr="00724CCD">
        <w:rPr>
          <w:i/>
        </w:rPr>
        <w:t>Retaining mature forest canopy is more fire resilient than most logged sites</w:t>
      </w:r>
      <w:r w:rsidRPr="00724CCD">
        <w:rPr>
          <w:rFonts w:eastAsia="Times New Roman"/>
          <w:color w:val="222222"/>
        </w:rPr>
        <w:t xml:space="preserve">. </w:t>
      </w:r>
      <w:r>
        <w:t xml:space="preserve">Canopy removal via thinning not only makes the forest hotter, drier, and windier, it also stimulates the growth of shrubs and create the very conditions that favor more severe crown damage during fire. This challenges the very popular notion that dense forests are a fire hazard. </w:t>
      </w:r>
      <w:r w:rsidRPr="00724CCD">
        <w:t xml:space="preserve">A meta-analysis of the effects of partial cutting showed that understory growth was stimulated in all cases. </w:t>
      </w:r>
      <w:r>
        <w:rPr>
          <w:rStyle w:val="e"/>
        </w:rPr>
        <w:t xml:space="preserve">D. Zhou, S. Q. Zhao, S. Liu,  and J. </w:t>
      </w:r>
      <w:proofErr w:type="spellStart"/>
      <w:r>
        <w:rPr>
          <w:rStyle w:val="e"/>
        </w:rPr>
        <w:t>Oeding</w:t>
      </w:r>
      <w:proofErr w:type="spellEnd"/>
      <w:r>
        <w:rPr>
          <w:rStyle w:val="e"/>
        </w:rPr>
        <w:t xml:space="preserve">. 2013. </w:t>
      </w:r>
      <w:r w:rsidRPr="00597915">
        <w:rPr>
          <w:rStyle w:val="e"/>
        </w:rPr>
        <w:t>A meta-analysis on the impacts of partial cutting on forest structure</w:t>
      </w:r>
      <w:r>
        <w:rPr>
          <w:rStyle w:val="e"/>
        </w:rPr>
        <w:t xml:space="preserve"> </w:t>
      </w:r>
      <w:r w:rsidRPr="00597915">
        <w:rPr>
          <w:rStyle w:val="e"/>
        </w:rPr>
        <w:t>and carbon storage</w:t>
      </w:r>
      <w:r>
        <w:rPr>
          <w:rStyle w:val="e"/>
        </w:rPr>
        <w:t xml:space="preserve">. </w:t>
      </w:r>
      <w:proofErr w:type="spellStart"/>
      <w:r w:rsidRPr="00597915">
        <w:rPr>
          <w:rStyle w:val="e"/>
        </w:rPr>
        <w:t>Biogeosciences</w:t>
      </w:r>
      <w:proofErr w:type="spellEnd"/>
      <w:r w:rsidRPr="00597915">
        <w:rPr>
          <w:rStyle w:val="e"/>
        </w:rPr>
        <w:t>, 10, 3691–3703, 2013</w:t>
      </w:r>
      <w:r>
        <w:rPr>
          <w:rStyle w:val="e"/>
        </w:rPr>
        <w:t xml:space="preserve">. </w:t>
      </w:r>
      <w:hyperlink r:id="rId238" w:history="1">
        <w:r w:rsidRPr="00931733">
          <w:rPr>
            <w:rStyle w:val="Hyperlink"/>
          </w:rPr>
          <w:t>https://www.biogeosciences.net/10/3691/2013/bg-10-3691-2013.pdf</w:t>
        </w:r>
      </w:hyperlink>
      <w:r>
        <w:rPr>
          <w:rStyle w:val="e"/>
        </w:rPr>
        <w:t xml:space="preserve">. </w:t>
      </w:r>
      <w:r w:rsidRPr="00724CCD">
        <w:t>(“Understory C was stimulated significantly by partial cutting in all of the studies. This stimulation can be mostly attributed to an increase in the availability of light, water, and nutrients to the understory because of tree removal (</w:t>
      </w:r>
      <w:proofErr w:type="spellStart"/>
      <w:r w:rsidRPr="00724CCD">
        <w:t>Aussenac</w:t>
      </w:r>
      <w:proofErr w:type="spellEnd"/>
      <w:r w:rsidRPr="00724CCD">
        <w:t xml:space="preserve">, 2000; </w:t>
      </w:r>
      <w:proofErr w:type="spellStart"/>
      <w:r w:rsidRPr="00724CCD">
        <w:t>Kleintjes</w:t>
      </w:r>
      <w:proofErr w:type="spellEnd"/>
      <w:r w:rsidRPr="00724CCD">
        <w:t xml:space="preserve"> et al., 2004; Deal, 2007)”). “Thinning is most effective when it removes understory trees, because larger </w:t>
      </w:r>
      <w:proofErr w:type="spellStart"/>
      <w:r w:rsidRPr="00724CCD">
        <w:t>overstory</w:t>
      </w:r>
      <w:proofErr w:type="spellEnd"/>
      <w:r w:rsidRPr="00724CCD">
        <w:t xml:space="preserve"> trees are more resistant to heat injury (Agee and Skinner 2005). In addition, shade and competition from larger trees slows the recruitment of younger trees in the understory.” Keeley, J.E.; </w:t>
      </w:r>
      <w:proofErr w:type="spellStart"/>
      <w:r w:rsidRPr="00724CCD">
        <w:t>Aplet</w:t>
      </w:r>
      <w:proofErr w:type="spellEnd"/>
      <w:r w:rsidRPr="00724CCD">
        <w:t xml:space="preserve">, G.H.; Christensen, N.L.; </w:t>
      </w:r>
      <w:proofErr w:type="spellStart"/>
      <w:r w:rsidRPr="00724CCD">
        <w:t>Conard</w:t>
      </w:r>
      <w:proofErr w:type="spellEnd"/>
      <w:r w:rsidRPr="00724CCD">
        <w:t xml:space="preserve">, S.C.; Johnson, E.A.; Omi, P.N.; Peterson, D.L.; </w:t>
      </w:r>
      <w:proofErr w:type="spellStart"/>
      <w:r w:rsidRPr="00724CCD">
        <w:t>Swetnam</w:t>
      </w:r>
      <w:proofErr w:type="spellEnd"/>
      <w:r w:rsidRPr="00724CCD">
        <w:t xml:space="preserve">, T.W. 2009. Ecological foundations for fire management in North American forest and </w:t>
      </w:r>
      <w:proofErr w:type="spellStart"/>
      <w:r w:rsidRPr="00724CCD">
        <w:t>shrubland</w:t>
      </w:r>
      <w:proofErr w:type="spellEnd"/>
      <w:r w:rsidRPr="00724CCD">
        <w:t xml:space="preserve"> ecosystems. Gen. Tech. Rep. PNW-GTR-779. Portland, OR: U.S. Department of Agriculture, Forest Service, Pacific Northwest Research Station. 92 p. </w:t>
      </w:r>
      <w:hyperlink r:id="rId239" w:history="1">
        <w:r w:rsidRPr="00724CCD">
          <w:rPr>
            <w:rStyle w:val="Hyperlink"/>
          </w:rPr>
          <w:t>http://www.fs.fed.us/pnw/pubs/pnw_gtr779.pdf</w:t>
        </w:r>
      </w:hyperlink>
      <w:r w:rsidRPr="00724CCD">
        <w:t xml:space="preserve">. </w:t>
      </w:r>
      <w:proofErr w:type="spellStart"/>
      <w:r w:rsidRPr="00724CCD">
        <w:rPr>
          <w:rFonts w:ascii="Times New  Roman" w:hAnsi="Times New  Roman" w:cs="Times New  Roman"/>
        </w:rPr>
        <w:t>Zald</w:t>
      </w:r>
      <w:proofErr w:type="spellEnd"/>
      <w:r w:rsidRPr="00724CCD">
        <w:rPr>
          <w:rFonts w:ascii="Times New  Roman" w:hAnsi="Times New  Roman" w:cs="Times New  Roman"/>
        </w:rPr>
        <w:t xml:space="preserve"> &amp; Dunn (2018) looked at fire severity in a mixed ownership landscape and found that stand age was inversely related to fire severity suggesting that older forests are more resistant and resilient to fire and that time-since-fire has the opposite of the assumed effect on fire hazard. “</w:t>
      </w:r>
      <w:r w:rsidRPr="00724CCD">
        <w:rPr>
          <w:b/>
        </w:rPr>
        <w:t>…we found daily fire weather was the most important predictor of fire severity, followed by stand age and ownership, followed by topographic features. Estimates of pre</w:t>
      </w:r>
      <w:r w:rsidRPr="00724CCD">
        <w:rPr>
          <w:rFonts w:ascii="Cambria Math" w:hAnsi="Cambria Math" w:cs="Cambria Math"/>
          <w:b/>
        </w:rPr>
        <w:t>‐</w:t>
      </w:r>
      <w:r w:rsidRPr="00724CCD">
        <w:rPr>
          <w:b/>
        </w:rPr>
        <w:t>fire forest biomass were not an important predictor of fire severity.</w:t>
      </w:r>
      <w:r w:rsidRPr="00997BFF">
        <w:t xml:space="preserve"> Adjusting for all other predictor variables in a general least squares model incorporating spatial autocorrelation, mean predicted </w:t>
      </w:r>
      <w:proofErr w:type="spellStart"/>
      <w:r w:rsidRPr="00997BFF">
        <w:t>RdNBR</w:t>
      </w:r>
      <w:proofErr w:type="spellEnd"/>
      <w:r w:rsidRPr="00997BFF">
        <w:t xml:space="preserve"> </w:t>
      </w:r>
      <w:r w:rsidRPr="00997BFF">
        <w:lastRenderedPageBreak/>
        <w:t>was higher on private industrial forests (</w:t>
      </w:r>
      <w:proofErr w:type="spellStart"/>
      <w:r w:rsidRPr="00997BFF">
        <w:t>RdNBR</w:t>
      </w:r>
      <w:proofErr w:type="spellEnd"/>
      <w:r w:rsidRPr="00997BFF">
        <w:t xml:space="preserve"> 521.85 ± 18.67 [mean ± SE]) vs. BLM forests (398.87 ± 18.23) with a much greater proportion of older forests. </w:t>
      </w:r>
      <w:r w:rsidRPr="00724CCD">
        <w:rPr>
          <w:b/>
        </w:rPr>
        <w:t>Our findings suggest intensive plantation forestry characterized by young forests and spatially homogenized fuels, rather than pre</w:t>
      </w:r>
      <w:r w:rsidRPr="00724CCD">
        <w:rPr>
          <w:rFonts w:ascii="Cambria Math" w:hAnsi="Cambria Math" w:cs="Cambria Math"/>
          <w:b/>
        </w:rPr>
        <w:t>‐</w:t>
      </w:r>
      <w:r w:rsidRPr="00724CCD">
        <w:rPr>
          <w:b/>
        </w:rPr>
        <w:t>fire biomass, were significant drivers of wildfire severity.</w:t>
      </w:r>
      <w:r w:rsidRPr="00997BFF">
        <w:t xml:space="preserve"> This has implications for perceptions of wildfire risk, shared fire management responsibilities, and developing fire resilience for multiple objectives in multi</w:t>
      </w:r>
      <w:r w:rsidRPr="00724CCD">
        <w:rPr>
          <w:rFonts w:ascii="Cambria Math" w:hAnsi="Cambria Math" w:cs="Cambria Math"/>
        </w:rPr>
        <w:t>‐</w:t>
      </w:r>
      <w:r w:rsidRPr="00997BFF">
        <w:t>owner landscapes.</w:t>
      </w:r>
      <w:r>
        <w:t xml:space="preserve">” Harold S. J. </w:t>
      </w:r>
      <w:proofErr w:type="spellStart"/>
      <w:r>
        <w:t>Zald</w:t>
      </w:r>
      <w:proofErr w:type="spellEnd"/>
      <w:r>
        <w:t>, Christopher J. Dunn. 2018. Severe fire weather and intensive forest management increase fire severity in a multi</w:t>
      </w:r>
      <w:r w:rsidRPr="00724CCD">
        <w:rPr>
          <w:rFonts w:ascii="Cambria Math" w:hAnsi="Cambria Math" w:cs="Cambria Math"/>
        </w:rPr>
        <w:t>‐</w:t>
      </w:r>
      <w:r>
        <w:t xml:space="preserve">ownership landscape. Ecological Applications. </w:t>
      </w:r>
      <w:r w:rsidRPr="00724CCD">
        <w:rPr>
          <w:i/>
        </w:rPr>
        <w:t>Online Version of Record before inclusion in an issue.</w:t>
      </w:r>
      <w:r>
        <w:t xml:space="preserve"> 26 April 2018. </w:t>
      </w:r>
      <w:hyperlink r:id="rId240" w:history="1">
        <w:r w:rsidRPr="00AC7E6F">
          <w:rPr>
            <w:rStyle w:val="Hyperlink"/>
          </w:rPr>
          <w:t>https://doi.org/10.1002/eap.1710</w:t>
        </w:r>
      </w:hyperlink>
      <w:r>
        <w:t xml:space="preserve">. Also, </w:t>
      </w:r>
      <w:hyperlink r:id="rId241" w:history="1">
        <w:r w:rsidRPr="00AC7E6F">
          <w:rPr>
            <w:rStyle w:val="Hyperlink"/>
          </w:rPr>
          <w:t>https://phys.org/news/2018-04-high-wildfire-severity-young-plantation.html</w:t>
        </w:r>
      </w:hyperlink>
      <w:r w:rsidRPr="00724CCD">
        <w:rPr>
          <w:rFonts w:eastAsia="Times New Roman"/>
          <w:color w:val="222222"/>
        </w:rPr>
        <w:t xml:space="preserve"> </w:t>
      </w:r>
    </w:p>
    <w:p w:rsidR="0077438E" w:rsidRPr="000358CB" w:rsidRDefault="0077438E" w:rsidP="0077438E">
      <w:pPr>
        <w:numPr>
          <w:ilvl w:val="0"/>
          <w:numId w:val="24"/>
        </w:numPr>
        <w:shd w:val="clear" w:color="auto" w:fill="FFFFFF"/>
        <w:spacing w:line="240" w:lineRule="auto"/>
        <w:rPr>
          <w:rFonts w:eastAsia="Times New Roman"/>
          <w:color w:val="222222"/>
        </w:rPr>
      </w:pPr>
      <w:r w:rsidRPr="002B13B3">
        <w:rPr>
          <w:i/>
        </w:rPr>
        <w:t>Only a small fraction of needed density reduction can support an economically viable timber sale</w:t>
      </w:r>
      <w:r w:rsidRPr="000358CB">
        <w:t xml:space="preserve">. See </w:t>
      </w:r>
      <w:proofErr w:type="spellStart"/>
      <w:r w:rsidRPr="000358CB">
        <w:t>Rainville</w:t>
      </w:r>
      <w:proofErr w:type="spellEnd"/>
      <w:r w:rsidRPr="000358CB">
        <w:t xml:space="preserve">, Robert; White, Rachel; Barbour, Jamie, tech. eds. 2008. Assessment of timber availability from forest restoration within the Blue Mountains of Oregon. Gen. Tech. Rep. PNW-GTR-752. Portland, OR: U.S. Department of Agriculture, Forest Service, Pacific Northwest Research Station. 65 p. </w:t>
      </w:r>
      <w:hyperlink r:id="rId242" w:history="1">
        <w:r w:rsidRPr="000358CB">
          <w:rPr>
            <w:rStyle w:val="Hyperlink"/>
          </w:rPr>
          <w:t>http://www.fs.fed.us/pnw/pubs/pnw_gtr752.pdf</w:t>
        </w:r>
      </w:hyperlink>
      <w:r w:rsidRPr="000358CB">
        <w:t xml:space="preserve"> (</w:t>
      </w:r>
      <w:r>
        <w:t xml:space="preserve">“Hoping to boost their economies and also restore these forests, local leaders are interested in the economic value of timber that might be available from thinning treatments on these lands. … [W]e found that on lands where active forestry is allowable, thinning of most densely stocked stands would not be economically viable. … In the 46 percent of the three Blue Mountains national forests that is forested, thinning with timber removal is an unlikely treatment method. This does not mean that other vegetative management options (prescribed fire, wildland fire use, or thinning without commercial timber removal) could not be used to reduce fire hazard, but it is doubtful that these areas would produce much commercial timber. …  Commercial thinning would only be possible where the value of the timber harvested exceeds the cost of the harvesting, hauling, road maintenance, and contractual requirements (i.e., a positive net revenue exists). Because most simulated </w:t>
      </w:r>
      <w:proofErr w:type="spellStart"/>
      <w:r>
        <w:t>thinnings</w:t>
      </w:r>
      <w:proofErr w:type="spellEnd"/>
      <w:r>
        <w:t xml:space="preserve"> harvested low volumes of small trees, commercial removal was possible on only 39,900 (± 4,600) acres, or less than 10 percent of the densely stocked acres (table 4-8). … … even when considered under the most favorable of assumptions, most densely stocked stands would not be treatable without significant investments.”)</w:t>
      </w:r>
      <w:r w:rsidRPr="000358CB">
        <w:t xml:space="preserve"> </w:t>
      </w:r>
    </w:p>
    <w:p w:rsidR="0077438E" w:rsidRDefault="0077438E" w:rsidP="0077438E">
      <w:pPr>
        <w:numPr>
          <w:ilvl w:val="0"/>
          <w:numId w:val="24"/>
        </w:numPr>
        <w:suppressAutoHyphens/>
        <w:spacing w:line="240" w:lineRule="auto"/>
      </w:pPr>
      <w:r w:rsidRPr="007A4009">
        <w:rPr>
          <w:rStyle w:val="fontstyle21"/>
          <w:i/>
          <w:sz w:val="24"/>
          <w:szCs w:val="24"/>
        </w:rPr>
        <w:t>The agencies are failing to treat the areas of highest hazard and choosing instead to treat areas that produce profitable timber sales</w:t>
      </w:r>
      <w:r w:rsidRPr="007A4009">
        <w:rPr>
          <w:rStyle w:val="fontstyle21"/>
          <w:sz w:val="24"/>
          <w:szCs w:val="24"/>
        </w:rPr>
        <w:t xml:space="preserve">. </w:t>
      </w:r>
      <w:proofErr w:type="spellStart"/>
      <w:r w:rsidRPr="007A4009">
        <w:rPr>
          <w:rStyle w:val="fontstyle21"/>
          <w:sz w:val="24"/>
          <w:szCs w:val="24"/>
        </w:rPr>
        <w:t>Vaillant</w:t>
      </w:r>
      <w:proofErr w:type="spellEnd"/>
      <w:r w:rsidRPr="007A4009">
        <w:rPr>
          <w:rStyle w:val="fontstyle21"/>
          <w:sz w:val="24"/>
          <w:szCs w:val="24"/>
        </w:rPr>
        <w:t xml:space="preserve"> &amp; Reinhardt 2017. An Evaluation of the Forest Service Hazardous Fuels Treatment Program—Are We Treating Enough to Promote Resiliency or Reduce Hazard? J. For. 115(4):300 –308. July 2017. </w:t>
      </w:r>
      <w:hyperlink r:id="rId243" w:history="1">
        <w:r w:rsidRPr="007A4009">
          <w:rPr>
            <w:rStyle w:val="Hyperlink"/>
          </w:rPr>
          <w:t>https://doi.org/10.5849/jof.16-067</w:t>
        </w:r>
      </w:hyperlink>
      <w:r w:rsidRPr="007A4009">
        <w:rPr>
          <w:rStyle w:val="fontstyle21"/>
          <w:sz w:val="24"/>
          <w:szCs w:val="24"/>
        </w:rPr>
        <w:t xml:space="preserve">. </w:t>
      </w:r>
      <w:hyperlink r:id="rId244" w:history="1">
        <w:r w:rsidRPr="007A4009">
          <w:rPr>
            <w:rStyle w:val="Hyperlink"/>
          </w:rPr>
          <w:t>https://www.fs.fed.us/pnw/pubs/journals/pnw_2017_vaillant001.pdf</w:t>
        </w:r>
      </w:hyperlink>
      <w:r w:rsidRPr="007A4009">
        <w:rPr>
          <w:rStyle w:val="fontstyle21"/>
          <w:sz w:val="24"/>
          <w:szCs w:val="24"/>
        </w:rPr>
        <w:t>. (“[W]e evaluated the [nationwide] extent of fuel treatments and wildfire occurrence within lands managed by the National Forest System (NFS) between 2008 and 2012 …</w:t>
      </w:r>
      <w:r w:rsidRPr="00467FC6">
        <w:rPr>
          <w:rStyle w:val="fontstyle21"/>
        </w:rPr>
        <w:t xml:space="preserve"> </w:t>
      </w:r>
      <w:r w:rsidRPr="00467FC6">
        <w:t>The</w:t>
      </w:r>
      <w:r>
        <w:t xml:space="preserve"> very high hazard class had the lowest treatment percentage and the highest incidence of uncharacteristically high-severity wildfire out of all the hazard classes. … Areas of very low hazard often are favored for treatment because they are less complex to plan and implement, are more economical to treat, … [T]</w:t>
      </w:r>
      <w:proofErr w:type="spellStart"/>
      <w:r>
        <w:t>reatments</w:t>
      </w:r>
      <w:proofErr w:type="spellEnd"/>
      <w:r>
        <w:t xml:space="preserve"> may be placed where they can accomplish multiple objectives, including production of wood products. This may result in selection of locations that are less important for hazard mitigation.”)</w:t>
      </w:r>
    </w:p>
    <w:p w:rsidR="0077438E" w:rsidRDefault="0077438E" w:rsidP="0077438E">
      <w:pPr>
        <w:numPr>
          <w:ilvl w:val="0"/>
          <w:numId w:val="24"/>
        </w:numPr>
        <w:suppressAutoHyphens/>
        <w:spacing w:line="240" w:lineRule="auto"/>
      </w:pPr>
      <w:r w:rsidRPr="002B13B3">
        <w:rPr>
          <w:i/>
        </w:rPr>
        <w:lastRenderedPageBreak/>
        <w:t xml:space="preserve">Building codes and land use planning are more effective than logging to reduce </w:t>
      </w:r>
      <w:r>
        <w:rPr>
          <w:i/>
        </w:rPr>
        <w:t xml:space="preserve">community </w:t>
      </w:r>
      <w:r w:rsidRPr="002B13B3">
        <w:rPr>
          <w:i/>
        </w:rPr>
        <w:t>wildfire</w:t>
      </w:r>
      <w:r>
        <w:rPr>
          <w:i/>
        </w:rPr>
        <w:t xml:space="preserve"> hazard</w:t>
      </w:r>
      <w:r>
        <w:t>. Pohl, Kelly 2019. “</w:t>
      </w:r>
      <w:r w:rsidRPr="00941674">
        <w:t>For communities</w:t>
      </w:r>
      <w:r>
        <w:t>,</w:t>
      </w:r>
      <w:r w:rsidRPr="00941674">
        <w:t xml:space="preserve"> land use planning is more effective than logging on federal lands to reduce future wildfire disasters.</w:t>
      </w:r>
      <w:r>
        <w:t xml:space="preserve">” </w:t>
      </w:r>
      <w:hyperlink r:id="rId245" w:history="1">
        <w:r w:rsidRPr="006203F5">
          <w:rPr>
            <w:rStyle w:val="Hyperlink"/>
          </w:rPr>
          <w:t>https://headwaterseconomics.org/wildfire/solutions/land-use-planning-is-more-effective/</w:t>
        </w:r>
      </w:hyperlink>
      <w:r>
        <w:t>. (“[W]</w:t>
      </w:r>
      <w:r w:rsidRPr="00941674">
        <w:t xml:space="preserve">e have the knowledge and tools to reduce risk posed by homes in wildfire-prone areas. </w:t>
      </w:r>
      <w:r>
        <w:t>... [T]</w:t>
      </w:r>
      <w:r w:rsidRPr="00941674">
        <w:t>here are many land use planning tools available that can mean the difference between home survival and loss.</w:t>
      </w:r>
      <w:r>
        <w:t xml:space="preserve">”). The fire threat to communities is caused by, and may be best addressed by, land use practices, not forest fuels. Forest fuels policy needs to recognize that structures themselves represent hazardous fuels that can carry fire from structure-to-structure, or from structure-to-forest. There are already too many homes in the wildland urban interface, and more are being built every day. </w:t>
      </w:r>
      <w:proofErr w:type="spellStart"/>
      <w:r>
        <w:t>Radeloff</w:t>
      </w:r>
      <w:proofErr w:type="spellEnd"/>
      <w:r>
        <w:t xml:space="preserve">, </w:t>
      </w:r>
      <w:proofErr w:type="spellStart"/>
      <w:r>
        <w:t>Helmers</w:t>
      </w:r>
      <w:proofErr w:type="spellEnd"/>
      <w:r>
        <w:t xml:space="preserve">, Kramer et al 2017. Rapid growth of the US wildland-urban interface raises wildfire risk. </w:t>
      </w:r>
      <w:r w:rsidRPr="00FE7FC9">
        <w:t>Proceedings of the National Academy of Sciences</w:t>
      </w:r>
      <w:r>
        <w:t>.</w:t>
      </w:r>
      <w:r w:rsidRPr="00FE7FC9">
        <w:t xml:space="preserve"> Mar 2018, 2017</w:t>
      </w:r>
      <w:r>
        <w:t xml:space="preserve">. </w:t>
      </w:r>
      <w:hyperlink r:id="rId246" w:history="1">
        <w:r w:rsidRPr="00E859C2">
          <w:rPr>
            <w:rStyle w:val="Hyperlink"/>
          </w:rPr>
          <w:t>https://www.pnas.org/cgi/doi/10.1073/pnas.1718850115</w:t>
        </w:r>
      </w:hyperlink>
      <w:r>
        <w:t xml:space="preserve">. (“Abstract: … </w:t>
      </w:r>
      <w:r w:rsidRPr="00A77BC6">
        <w:t>Here we report that the WUI in the United States grew rapidly from 1990 to 2010 in terms of both number of new houses (from 30.8 to 43.4 million; 41% growth) and land area (from 581,000 to 770,000 km2; 33% growth), making it the fastest-growing land use type in the conterminous United States. The vast majority of new WUI areas were the result of new housing (97%), not related to an increase in wildland vegetation. Within the perimeter of recent wildfires (1990–2015), there were 286,000 houses in 2010, compared with 177,000 in 1990. Furthermore, WUI growth often results in more wildfire ignitions, putting more lives and houses at risk. Wildfire problems will not abate if recent housing growth trends continue.</w:t>
      </w:r>
      <w:r>
        <w:t>”). This also shows that people are quite willing to tolerate fire hazard in order to enjoy the quality of life associated with living near the forest.</w:t>
      </w:r>
    </w:p>
    <w:p w:rsidR="0077438E" w:rsidRPr="00EB67F9" w:rsidRDefault="0077438E" w:rsidP="0077438E">
      <w:pPr>
        <w:numPr>
          <w:ilvl w:val="0"/>
          <w:numId w:val="24"/>
        </w:numPr>
        <w:suppressAutoHyphens/>
        <w:spacing w:line="240" w:lineRule="auto"/>
      </w:pPr>
      <w:r w:rsidRPr="002B13B3">
        <w:rPr>
          <w:i/>
        </w:rPr>
        <w:t xml:space="preserve">Unlogged areas provide many benefits such as wildlife cover, snag &amp; wood recruitment, carbon storage, soil/watershed quality, microclimate buffering, etc. </w:t>
      </w:r>
      <w:r>
        <w:t xml:space="preserve">Forests are naturally adaptive and natural processes will accomplish many of the benefits attributed to thinning. “Counter to many regional studies, our results indicated that treated and long-unaltered, untreated areas may be moving in a similar direction. Treated and untreated areas experienced declines in tree density, increases in the size of the average individual, and losses of surface fuels in most size classes. The number of large trees increased in untreated areas, but decreased in treated areas. Our results suggested that untreated areas may be naturally recovering from the large disturbances associated with resource extraction and development in the late 1800s, and that natural recovery processes, including </w:t>
      </w:r>
      <w:proofErr w:type="spellStart"/>
      <w:r>
        <w:t>self thinning</w:t>
      </w:r>
      <w:proofErr w:type="spellEnd"/>
      <w:r>
        <w:t>, are taking hold. ... In a study of forest restoration need across eastern Washington and Oregon, over 25% of required restoration could be achieved through transition to later stages of forest stand development through successional processes as western landscapes recover from widespread historic degradation (</w:t>
      </w:r>
      <w:proofErr w:type="spellStart"/>
      <w:r>
        <w:t>Haugo</w:t>
      </w:r>
      <w:proofErr w:type="spellEnd"/>
      <w:r>
        <w:t xml:space="preserve"> et al., 2015).” </w:t>
      </w:r>
      <w:proofErr w:type="spellStart"/>
      <w:r w:rsidRPr="00EB67F9">
        <w:t>Zachmann</w:t>
      </w:r>
      <w:proofErr w:type="spellEnd"/>
      <w:r w:rsidRPr="00EB67F9">
        <w:t xml:space="preserve">, L. J., D. W. Shaw, and B. G. Dickson. 2018. Prescribed fire and natural recovery produce similar long-term patterns of change in forest structure in the Lake Tahoe basin, California. Forest Ecology and Management 409:276–287. </w:t>
      </w:r>
      <w:hyperlink r:id="rId247" w:history="1">
        <w:r w:rsidRPr="00EB67F9">
          <w:rPr>
            <w:rStyle w:val="Hyperlink"/>
          </w:rPr>
          <w:t>http://www.csp-inc.org/wp-content/uploads/2017/11/Zachmann_et_al_2017.pdf</w:t>
        </w:r>
      </w:hyperlink>
      <w:r w:rsidRPr="00EB67F9">
        <w:t xml:space="preserve"> </w:t>
      </w:r>
    </w:p>
    <w:p w:rsidR="0077438E" w:rsidRDefault="0077438E" w:rsidP="0077438E">
      <w:pPr>
        <w:numPr>
          <w:ilvl w:val="0"/>
          <w:numId w:val="24"/>
        </w:numPr>
        <w:suppressAutoHyphens/>
        <w:spacing w:line="240" w:lineRule="auto"/>
      </w:pPr>
      <w:r w:rsidRPr="00855A9A">
        <w:rPr>
          <w:i/>
        </w:rPr>
        <w:t xml:space="preserve">Wildfire </w:t>
      </w:r>
      <w:r>
        <w:rPr>
          <w:i/>
        </w:rPr>
        <w:t xml:space="preserve">effects are more </w:t>
      </w:r>
      <w:r w:rsidRPr="00855A9A">
        <w:rPr>
          <w:i/>
        </w:rPr>
        <w:t>ecologically beneficial</w:t>
      </w:r>
      <w:r>
        <w:rPr>
          <w:i/>
        </w:rPr>
        <w:t xml:space="preserve"> than logging</w:t>
      </w:r>
      <w:r w:rsidRPr="00855A9A">
        <w:rPr>
          <w:i/>
        </w:rPr>
        <w:t>.</w:t>
      </w:r>
      <w:r>
        <w:t xml:space="preserve"> The 2017 F</w:t>
      </w:r>
      <w:r w:rsidRPr="00663A20">
        <w:t xml:space="preserve">uels Report for the </w:t>
      </w:r>
      <w:r>
        <w:t xml:space="preserve">130,000 acre </w:t>
      </w:r>
      <w:r w:rsidRPr="00663A20">
        <w:t>Eas</w:t>
      </w:r>
      <w:r>
        <w:t>t Hills Project on this Fremont-</w:t>
      </w:r>
      <w:r w:rsidRPr="00663A20">
        <w:t xml:space="preserve">Winema NF admits that </w:t>
      </w:r>
      <w:r>
        <w:t xml:space="preserve">wildfires are expected to have beneficial effects even under the </w:t>
      </w:r>
      <w:r w:rsidRPr="00663A20">
        <w:t xml:space="preserve">no action </w:t>
      </w:r>
      <w:r>
        <w:t xml:space="preserve">alternative </w:t>
      </w:r>
      <w:r w:rsidRPr="00663A20">
        <w:t xml:space="preserve">- “Overall expected value of fire effects is moderately beneficial. This assumes that fires burn throughout the </w:t>
      </w:r>
      <w:r w:rsidRPr="00663A20">
        <w:lastRenderedPageBreak/>
        <w:t>range of conditions – actual current practice is to suppress fires that a</w:t>
      </w:r>
      <w:r>
        <w:t>re most likely to be beneficial</w:t>
      </w:r>
      <w:r w:rsidRPr="00663A20">
        <w:t>.”</w:t>
      </w:r>
      <w:r>
        <w:t xml:space="preserve"> </w:t>
      </w:r>
      <w:hyperlink r:id="rId248" w:history="1">
        <w:r w:rsidRPr="004A4388">
          <w:rPr>
            <w:rStyle w:val="Hyperlink"/>
          </w:rPr>
          <w:t>https://www.fs.usda.gov/nfs/11558/www/nepa/101283_FSPLT3_4264365.pdf</w:t>
        </w:r>
      </w:hyperlink>
      <w:r>
        <w:t xml:space="preserve">. This would indicate a need to modify fire suppression practices and work </w:t>
      </w:r>
      <w:r w:rsidRPr="00316853">
        <w:rPr>
          <w:i/>
        </w:rPr>
        <w:t>with</w:t>
      </w:r>
      <w:r>
        <w:t xml:space="preserve"> fire when weather conditions are favorable.</w:t>
      </w:r>
    </w:p>
    <w:p w:rsidR="0077438E" w:rsidRDefault="0077438E" w:rsidP="0077438E"/>
    <w:p w:rsidR="0077438E" w:rsidRDefault="0077438E" w:rsidP="0077438E">
      <w:r>
        <w:t xml:space="preserve">Considering all of this, forest managers need to recognize that they cannot log their way out of the fuel predicament they are in. Forest managers will eventually come to realize that the vast majority of the ecological work will be accomplished by wild and prescribed fire. </w:t>
      </w:r>
    </w:p>
    <w:p w:rsidR="0077438E" w:rsidRDefault="0077438E" w:rsidP="0077438E"/>
    <w:p w:rsidR="0077438E" w:rsidRDefault="0077438E" w:rsidP="0077438E">
      <w:r>
        <w:t xml:space="preserve">Many conservationists supports the objective of preparing the forest for wildfire, but this does not mean that extensive commercial logging is required. Preparing for fire can often be done best by doing non-commercial pre-treatment followed by prescribed fire at the appropriate time, when the weather and fuels are relatively cool and moist. Fire is preferable because it has a lighter ecological footprint on soil, water, and large wood habitat. </w:t>
      </w:r>
    </w:p>
    <w:p w:rsidR="0077438E" w:rsidRDefault="0077438E" w:rsidP="0077438E"/>
    <w:p w:rsidR="0077438E" w:rsidRDefault="0077438E" w:rsidP="0077438E">
      <w:proofErr w:type="spellStart"/>
      <w:r>
        <w:t>Schoennagel</w:t>
      </w:r>
      <w:proofErr w:type="spellEnd"/>
      <w:r>
        <w:t xml:space="preserve"> et al (2017) make a compelling case for a new approach to managing fire and fuel with a greater emphasis on using wild and prescribed fire instead of mechanical fuel reduction.</w:t>
      </w:r>
    </w:p>
    <w:p w:rsidR="0077438E" w:rsidRDefault="0077438E" w:rsidP="0077438E">
      <w:pPr>
        <w:ind w:left="576"/>
      </w:pPr>
      <w:r>
        <w:t>Key aspects of an adaptive resilience approach are (</w:t>
      </w:r>
      <w:proofErr w:type="spellStart"/>
      <w:r>
        <w:t>i</w:t>
      </w:r>
      <w:proofErr w:type="spellEnd"/>
      <w:r>
        <w:t xml:space="preserve">) recognizing that fuels reduction cannot alter regional wildfire trends; (ii) targeting fuels reduction to increase adaptation by some ecosystems and residential communities to more frequent fire; (iii) actively managing more wild and prescribed fires with a range of severities; and (iv) incentivizing and planning residential development to withstand inevitable wildfire. … Managing ecosystems, people, and wildfire in a changing climate is a complex but critical challenge that requires effective and innovative policy strategies. Our key message is that wildfire policy and management require a new paradigm that hinges on the critical need to adapt to inevitably more fire in the West in the coming decades. … Three primary factors have produced gradual but significant change across western North American landscapes in recent decades: the warming and drying climate, the build-up of fuels, and the expansion of the wildland–urban interface. … Increasing the use of prescribed fires and managing rather than aggressively suppressing wildland fires can promote adaptive resilience as the climate continues to warm. … Strategic planning for more managed and uncontrolled wild fires on the landscape today may help decrease the proportion of large and severe wildfires in the coming decades and may enhance adaptive resilience to changing climate. Prescribed fires, ignited under cooler and moister conditions than are typical of most wildfires, can reduce fuels and minimize the risk of uncontrolled forest wildfire near communities. In contrast to wildfires, prescribed fire risks are relatively low, and more than 99% of prescribed fires are held within planned perimeters successfully. … We need to develop a new fire culture. Despite these and various legal and operational challenges, the benefits of prescribed fire and managed wildfires to ecosystems and communities are high. Promoting more wildfire away from people and prescribed fires near people and the WUI are important steps toward augmenting the adaptive resilience of ecosystems and society to increasing wildfire. … </w:t>
      </w:r>
      <w:r>
        <w:lastRenderedPageBreak/>
        <w:t>[T]he effectiveness of this [fuel reduction] approach at broad scales is limited. Mechanical fuels treatments on US federal lands over the last 15 y (2001–2015) totaled almost 7 million ha (Forests and Rangelands, https://www.forestsandrangelands.gov/), but the annual area burned has continued to set records. Regionally, the area treated has little relationship to trends in the area burned, which is influenced primarily by patterns of drought and warming. Forested areas considerably exceed the area treated, so it is relatively rare that treatments encounter wildfire. … [R]</w:t>
      </w:r>
      <w:proofErr w:type="spellStart"/>
      <w:r>
        <w:t>oughly</w:t>
      </w:r>
      <w:proofErr w:type="spellEnd"/>
      <w:r>
        <w:t xml:space="preserve"> 1% of US Forest Service forest treatments experience wildfire each year, on average. The effectiveness of forest treatments lasts about 10–20 y, suggesting that most treatments have little influence on wildfire. … [T]he prospects for forest fuels treatments to promote adaptive resilience to wildfire at broad scales, by regionally reducing trends in area burned or burn severity, are fairly limited. … Home loss to wildfire is a local event, dependent on structural fuels (e.g., building material) and nearby vegetative fuels. Therefore, fuels management for home and community protection will be most effective closest to homes, which usually are on private land in the WUI where ignition probabilities are likely to be high. … The majority of home building on fire-prone lands occurs in large part because incentives are misaligned, where risks are taken by homeowners and communities but others bear much of the cost if things go wrong. Therefore, getting incentives right is essential, with negative financial consequences for land-management decisions that increase risk and positive financial rewards for decisions that reduce risk. … </w:t>
      </w:r>
    </w:p>
    <w:p w:rsidR="0077438E" w:rsidRDefault="0077438E" w:rsidP="0077438E">
      <w:proofErr w:type="spellStart"/>
      <w:r>
        <w:t>Schoennagel</w:t>
      </w:r>
      <w:proofErr w:type="spellEnd"/>
      <w:r>
        <w:t xml:space="preserve"> et al 2017. Adapt to more wildfire in western North American forests as climate changes. </w:t>
      </w:r>
      <w:r w:rsidRPr="000B1A25">
        <w:t xml:space="preserve">PNAS </w:t>
      </w:r>
      <w:r>
        <w:t>2017</w:t>
      </w:r>
      <w:r w:rsidRPr="000B1A25">
        <w:t>; published ahead of print April 17, 2017</w:t>
      </w:r>
      <w:r>
        <w:t xml:space="preserve">. </w:t>
      </w:r>
      <w:hyperlink r:id="rId249" w:history="1">
        <w:r w:rsidRPr="00522DD0">
          <w:rPr>
            <w:rStyle w:val="Hyperlink"/>
          </w:rPr>
          <w:t>www.pnas.org/cgi/doi/10.1073/pnas.1617464114</w:t>
        </w:r>
      </w:hyperlink>
      <w:r>
        <w:t xml:space="preserve">; </w:t>
      </w:r>
      <w:r w:rsidRPr="0002375F">
        <w:t xml:space="preserve"> </w:t>
      </w:r>
      <w:hyperlink r:id="rId250" w:history="1">
        <w:r w:rsidRPr="00522DD0">
          <w:rPr>
            <w:rStyle w:val="Hyperlink"/>
          </w:rPr>
          <w:t>https://headwaterseconomics.org/wp-content/uploads/Adapt_To_More_Wildfire.pdf</w:t>
        </w:r>
      </w:hyperlink>
      <w:r>
        <w:t xml:space="preserve"> </w:t>
      </w:r>
    </w:p>
    <w:p w:rsidR="007F02FF" w:rsidRDefault="007F02FF" w:rsidP="0077438E"/>
    <w:p w:rsidR="0077438E" w:rsidRPr="007F02FF" w:rsidRDefault="0077438E" w:rsidP="007F02FF">
      <w:pPr>
        <w:pStyle w:val="Subtitle"/>
        <w:ind w:left="720"/>
        <w:rPr>
          <w:b/>
        </w:rPr>
      </w:pPr>
      <w:bookmarkStart w:id="44" w:name="_Toc40443499"/>
      <w:r w:rsidRPr="007F02FF">
        <w:rPr>
          <w:b/>
        </w:rPr>
        <w:t>The timber industry is a source of economic instability. The regional economy and local communities benefit from conservation.</w:t>
      </w:r>
      <w:bookmarkEnd w:id="44"/>
    </w:p>
    <w:p w:rsidR="0077438E" w:rsidRDefault="0077438E" w:rsidP="0077438E">
      <w:r>
        <w:t>The whitepaper says a “survey found that residents of Baker, Union, and Wallowa counties in northeast Oregon were more likely than nationwide samples to prioritize jobs and economic forest uses over some conservation concerns, such as forest fragmentation, overharvest, and wildfire (Hamilton et al. 2012). Of these respondents, 79% believed it was more important to use natural resources to create jobs than to conserve them for the future, and 85% said that loss of forestry jobs or income was a serious threat to them or their community (Hamilton et al. 2014). Only 34% said over-harvesting or heavy cutting of timber was a serious threat. Taken together, this research reveals the importance of recreational and economic uses of NFs on the eastside.” This statement is incomplete and misleading because it fails to recognize that (1) these are national forests that belong to all Americans, not the residents of local communities, and (2) resource extraction is a source of community instability, while conservation that enhances ecosystem services and quality of life is a source of local and regional economic diversity and stability.</w:t>
      </w:r>
    </w:p>
    <w:p w:rsidR="0077438E" w:rsidRDefault="0077438E" w:rsidP="0077438E"/>
    <w:p w:rsidR="0077438E" w:rsidRDefault="0077438E" w:rsidP="0077438E">
      <w:r>
        <w:t xml:space="preserve">The FS must not focus the economic analysis exclusively on local communities. Well-conserved natural landscapes provide important economic values to urban residents as well. Urban residents obtain drinking water, benefit from carbon storage, and importantly, they travel to remote areas to recreate and enjoy natural landscapes. </w:t>
      </w:r>
    </w:p>
    <w:p w:rsidR="0077438E" w:rsidRPr="00A25BFD" w:rsidRDefault="0077438E" w:rsidP="0077438E">
      <w:pPr>
        <w:autoSpaceDE w:val="0"/>
        <w:autoSpaceDN w:val="0"/>
        <w:adjustRightInd w:val="0"/>
        <w:ind w:left="720"/>
      </w:pPr>
      <w:r w:rsidRPr="00A25BFD">
        <w:t>Rapid growth in the Pacific Northwest over the 1980s and 1990s has been difficult to</w:t>
      </w:r>
      <w:r>
        <w:t xml:space="preserve"> </w:t>
      </w:r>
      <w:r w:rsidRPr="00A25BFD">
        <w:t>explain in the context of traditional economic models of regional growth. The input-output</w:t>
      </w:r>
      <w:r>
        <w:t xml:space="preserve"> </w:t>
      </w:r>
      <w:r w:rsidRPr="00A25BFD">
        <w:t>framework used by many economic development organizations predicted that reductions in</w:t>
      </w:r>
      <w:r>
        <w:t xml:space="preserve"> </w:t>
      </w:r>
      <w:r w:rsidRPr="00A25BFD">
        <w:t>logging due to environmental policy would have permanent negative effects on the</w:t>
      </w:r>
      <w:r>
        <w:t xml:space="preserve"> </w:t>
      </w:r>
      <w:r w:rsidRPr="00A25BFD">
        <w:t>economies of the affected areas. Instead, the region experienced strong economic growth</w:t>
      </w:r>
      <w:r>
        <w:t xml:space="preserve"> </w:t>
      </w:r>
      <w:r w:rsidRPr="00A25BFD">
        <w:t>over this time period. It has been suggested that this economic growth might have resulted</w:t>
      </w:r>
      <w:r>
        <w:t xml:space="preserve"> </w:t>
      </w:r>
      <w:r w:rsidRPr="00A25BFD">
        <w:t>in part because of the protection of natural resources in the area, rather than in spite of it.</w:t>
      </w:r>
    </w:p>
    <w:p w:rsidR="0077438E" w:rsidRDefault="0077438E" w:rsidP="0077438E">
      <w:pPr>
        <w:autoSpaceDE w:val="0"/>
        <w:autoSpaceDN w:val="0"/>
        <w:adjustRightInd w:val="0"/>
        <w:ind w:left="720"/>
      </w:pPr>
    </w:p>
    <w:p w:rsidR="0077438E" w:rsidRPr="00A25BFD" w:rsidRDefault="0077438E" w:rsidP="0077438E">
      <w:pPr>
        <w:autoSpaceDE w:val="0"/>
        <w:autoSpaceDN w:val="0"/>
        <w:adjustRightInd w:val="0"/>
        <w:ind w:left="720"/>
      </w:pPr>
      <w:r w:rsidRPr="00A25BFD">
        <w:t>This possibility is consistent with a fairly extensive empirical literature showing that</w:t>
      </w:r>
      <w:r>
        <w:t xml:space="preserve"> </w:t>
      </w:r>
      <w:r w:rsidRPr="00A25BFD">
        <w:t>variations in region-specific amenities can account for persistent differences in real wages</w:t>
      </w:r>
      <w:r>
        <w:t xml:space="preserve"> </w:t>
      </w:r>
      <w:r w:rsidRPr="00A25BFD">
        <w:t>across regions. The presence of an amenity valued by workers generates negative</w:t>
      </w:r>
      <w:r>
        <w:t xml:space="preserve"> </w:t>
      </w:r>
      <w:r w:rsidRPr="00A25BFD">
        <w:t>compensating wage differentials, as a higher supply of workers drives down wages in that</w:t>
      </w:r>
      <w:r>
        <w:t xml:space="preserve"> </w:t>
      </w:r>
      <w:r w:rsidRPr="00A25BFD">
        <w:t>area. At the same time, the presence of an amenity increases demand for housing in the</w:t>
      </w:r>
      <w:r>
        <w:t xml:space="preserve"> </w:t>
      </w:r>
      <w:r w:rsidRPr="00A25BFD">
        <w:t>region, which generates positive rent differentials. Such amenities can generate sizeable</w:t>
      </w:r>
      <w:r>
        <w:t xml:space="preserve"> </w:t>
      </w:r>
      <w:r w:rsidRPr="00A25BFD">
        <w:t>effects on wages.</w:t>
      </w:r>
    </w:p>
    <w:p w:rsidR="0077438E" w:rsidRDefault="0077438E" w:rsidP="0077438E">
      <w:pPr>
        <w:autoSpaceDE w:val="0"/>
        <w:autoSpaceDN w:val="0"/>
        <w:adjustRightInd w:val="0"/>
        <w:ind w:left="720"/>
      </w:pPr>
      <w:r w:rsidRPr="00A25BFD">
        <w:t>…The empirical literature to date has considered only amenities that are in the same</w:t>
      </w:r>
      <w:r>
        <w:t xml:space="preserve"> </w:t>
      </w:r>
      <w:r w:rsidRPr="00A25BFD">
        <w:t>location (usually the county or the metropolitan statistical area) as the household. The</w:t>
      </w:r>
      <w:r>
        <w:t xml:space="preserve"> </w:t>
      </w:r>
      <w:r w:rsidRPr="00A25BFD">
        <w:t>argument tested here is that environmental amenities at some distance from but accessible</w:t>
      </w:r>
      <w:r>
        <w:t xml:space="preserve"> </w:t>
      </w:r>
      <w:r w:rsidRPr="00A25BFD">
        <w:t>to urban areas may have a value to consumers that can lead to negative compensating wage</w:t>
      </w:r>
      <w:r>
        <w:t xml:space="preserve"> </w:t>
      </w:r>
      <w:r w:rsidRPr="00A25BFD">
        <w:t>differentials. These wage differentials, in turn, serve as production amenities, attracting</w:t>
      </w:r>
      <w:r>
        <w:t xml:space="preserve"> </w:t>
      </w:r>
      <w:r w:rsidRPr="00A25BFD">
        <w:t>industrial and commercial activity and generating economic growth.</w:t>
      </w:r>
    </w:p>
    <w:p w:rsidR="0077438E" w:rsidRPr="00A25BFD" w:rsidRDefault="0077438E" w:rsidP="0077438E">
      <w:pPr>
        <w:autoSpaceDE w:val="0"/>
        <w:autoSpaceDN w:val="0"/>
        <w:adjustRightInd w:val="0"/>
        <w:ind w:left="720"/>
      </w:pPr>
    </w:p>
    <w:p w:rsidR="0077438E" w:rsidRPr="00A25BFD" w:rsidRDefault="0077438E" w:rsidP="0077438E">
      <w:pPr>
        <w:autoSpaceDE w:val="0"/>
        <w:autoSpaceDN w:val="0"/>
        <w:adjustRightInd w:val="0"/>
        <w:ind w:left="720"/>
      </w:pPr>
      <w:r w:rsidRPr="00A25BFD">
        <w:t>…Our results suggest that natural resource amenities outside the metropolitan area do</w:t>
      </w:r>
      <w:r>
        <w:t xml:space="preserve"> </w:t>
      </w:r>
      <w:r w:rsidRPr="00A25BFD">
        <w:t>generate compensating wage differentials, as workers are willing to accept lower wages to</w:t>
      </w:r>
      <w:r>
        <w:t xml:space="preserve"> </w:t>
      </w:r>
      <w:r w:rsidRPr="00A25BFD">
        <w:t>live in accessible proximity to “nice” places. This implies that “nice” places provide a</w:t>
      </w:r>
      <w:r>
        <w:t xml:space="preserve"> </w:t>
      </w:r>
      <w:r w:rsidRPr="00A25BFD">
        <w:t>positive externality to those communities that find them accessible. It will therefore</w:t>
      </w:r>
      <w:r>
        <w:t xml:space="preserve"> </w:t>
      </w:r>
      <w:r w:rsidRPr="00A25BFD">
        <w:t>generally be very difficult to assure optimal provision of the amenity, either through market or nonmarket means. It is difficult enough to organize local jurisdictions to produce</w:t>
      </w:r>
      <w:r>
        <w:t xml:space="preserve"> </w:t>
      </w:r>
      <w:r w:rsidRPr="00A25BFD">
        <w:t>amenities efficiently within their own borders. Here the problem is much more complicated,</w:t>
      </w:r>
      <w:r>
        <w:t xml:space="preserve"> </w:t>
      </w:r>
      <w:r w:rsidRPr="00A25BFD">
        <w:t>as the relevant amenities will generally be produced in jurisdictions that are distinct from</w:t>
      </w:r>
      <w:r>
        <w:t xml:space="preserve"> </w:t>
      </w:r>
      <w:r w:rsidRPr="00A25BFD">
        <w:t>those in which the affected employers and employees transact their business. The effects</w:t>
      </w:r>
      <w:r>
        <w:t xml:space="preserve"> </w:t>
      </w:r>
      <w:r w:rsidRPr="00A25BFD">
        <w:t>that we estimate are quantitatively important, suggesting that these externalities should be taken into account in the making of environmental and natural resource policy.</w:t>
      </w:r>
    </w:p>
    <w:p w:rsidR="0077438E" w:rsidRDefault="0077438E" w:rsidP="0077438E">
      <w:r>
        <w:lastRenderedPageBreak/>
        <w:t xml:space="preserve">Schmidt, L. and P. N. Courant (2006). "Sometimes Close is Good Enough: The Value of Nearby Environmental Amenities." Journal of Regional Science 46(5): 931-951. </w:t>
      </w:r>
      <w:hyperlink r:id="rId251" w:history="1">
        <w:r w:rsidRPr="00DA7353">
          <w:rPr>
            <w:rStyle w:val="Hyperlink"/>
          </w:rPr>
          <w:t>https://ideas.repec.org/p/wil/wileco/2003-07.html</w:t>
        </w:r>
      </w:hyperlink>
      <w:r>
        <w:t xml:space="preserve">. It should be noted that the economic benefits of conservation that accrue to urban areas spill-over to also benefit rural areas. These benefits include direct local tax revenue, income generated from visitors, public services that are funded from state tax revenues, and rural areas’ access to specialized urban services. </w:t>
      </w:r>
      <w:proofErr w:type="spellStart"/>
      <w:r>
        <w:t>Cortright</w:t>
      </w:r>
      <w:proofErr w:type="spellEnd"/>
      <w:r>
        <w:t xml:space="preserve">, Joseph. 2011. Who Pays, Who Benefits? An Analysis of Taxes and Expenditures in Oregon. In Michael Hibbard, Ethan Seltzer, Bruce Weber, Beth </w:t>
      </w:r>
      <w:proofErr w:type="spellStart"/>
      <w:r>
        <w:t>Emshoff</w:t>
      </w:r>
      <w:proofErr w:type="spellEnd"/>
      <w:r>
        <w:t xml:space="preserve"> (</w:t>
      </w:r>
      <w:proofErr w:type="spellStart"/>
      <w:r>
        <w:t>eds</w:t>
      </w:r>
      <w:proofErr w:type="spellEnd"/>
      <w:r>
        <w:t xml:space="preserve">) Toward One Oregon. </w:t>
      </w:r>
      <w:hyperlink r:id="rId252" w:history="1">
        <w:r w:rsidRPr="00DA7353">
          <w:rPr>
            <w:rStyle w:val="Hyperlink"/>
          </w:rPr>
          <w:t>https://muse.jhu.edu/book/2135</w:t>
        </w:r>
      </w:hyperlink>
      <w:r>
        <w:t>.</w:t>
      </w:r>
    </w:p>
    <w:p w:rsidR="0077438E" w:rsidRDefault="0077438E" w:rsidP="0077438E">
      <w:r>
        <w:t xml:space="preserve">(“It seems apparent that the availability of public services in much of nonmetropolitan Oregon hinges vitally on the economic health of the Portland metropolitan area.”) Castle, Emery N., </w:t>
      </w:r>
      <w:proofErr w:type="spellStart"/>
      <w:r>
        <w:t>JunJie</w:t>
      </w:r>
      <w:proofErr w:type="spellEnd"/>
      <w:r>
        <w:t xml:space="preserve"> Wu, and Bruce Weber. 2011. Place Orientation and Rural-Urban Interdependence. Applied Economic Perspectives and Policy. </w:t>
      </w:r>
      <w:hyperlink r:id="rId253" w:history="1">
        <w:r w:rsidRPr="00DA7353">
          <w:rPr>
            <w:rStyle w:val="Hyperlink"/>
          </w:rPr>
          <w:t>http://citeseerx.ist.psu.edu/viewdoc/download?doi=10.1.1.1009.3704&amp;rep=rep1&amp;type=pdf</w:t>
        </w:r>
      </w:hyperlink>
      <w:r>
        <w:t xml:space="preserve">. (“Overall, there is a substantial net flow of resources from the metropolitan area to the remainder of Oregon [about $500 million per year for schools alone]. Those whose primary interest is in rural development need to learn about the role of cities.”). Martin, Sheila. 2011.Critical Linkages: Strengthening Clusters in Urban and Rural Oregon. </w:t>
      </w:r>
      <w:r w:rsidRPr="00BE1582">
        <w:rPr>
          <w:i/>
        </w:rPr>
        <w:t>In</w:t>
      </w:r>
      <w:r>
        <w:t xml:space="preserve"> Michael Hibbard, Ethan Seltzer, Bruce Weber, Beth </w:t>
      </w:r>
      <w:proofErr w:type="spellStart"/>
      <w:r>
        <w:t>Emshoff</w:t>
      </w:r>
      <w:proofErr w:type="spellEnd"/>
      <w:r>
        <w:t xml:space="preserve"> (</w:t>
      </w:r>
      <w:proofErr w:type="spellStart"/>
      <w:r>
        <w:t>eds</w:t>
      </w:r>
      <w:proofErr w:type="spellEnd"/>
      <w:r>
        <w:t xml:space="preserve">) Toward One Oregon. </w:t>
      </w:r>
      <w:hyperlink r:id="rId254" w:history="1">
        <w:r w:rsidRPr="00DA7353">
          <w:rPr>
            <w:rStyle w:val="Hyperlink"/>
          </w:rPr>
          <w:t>https://muse.jhu.edu/book/2135</w:t>
        </w:r>
      </w:hyperlink>
      <w:r>
        <w:t>. (“[U]</w:t>
      </w:r>
      <w:proofErr w:type="spellStart"/>
      <w:r>
        <w:t>rban</w:t>
      </w:r>
      <w:proofErr w:type="spellEnd"/>
      <w:r>
        <w:t xml:space="preserve"> and rural Oregonians are also linked by the state’s revenue-sharing system that is used to equalize the services available for the citizens of its state, especially for education and health care. This linkage is critical, because it means that economic vitality in one part of the state provides benefits to citizens in other parts. In effect, we all benefit from economic success in one part of the state because state tax revenues are shared statewide.”)</w:t>
      </w:r>
    </w:p>
    <w:p w:rsidR="0077438E" w:rsidRDefault="0077438E" w:rsidP="0077438E"/>
    <w:p w:rsidR="0077438E" w:rsidRDefault="0077438E" w:rsidP="0077438E">
      <w:r>
        <w:t xml:space="preserve">The best available science shows that resource extraction industries are inherently tend to boom-and-bust and cause economic and social instability in local communities. </w:t>
      </w:r>
    </w:p>
    <w:p w:rsidR="0077438E" w:rsidRDefault="0077438E" w:rsidP="0077438E">
      <w:pPr>
        <w:ind w:left="720"/>
      </w:pPr>
      <w:r>
        <w:rPr>
          <w:noProof/>
        </w:rPr>
        <w:lastRenderedPageBreak/>
        <w:drawing>
          <wp:inline distT="0" distB="0" distL="0" distR="0" wp14:anchorId="588F6863" wp14:editId="10A49328">
            <wp:extent cx="4565650" cy="3161904"/>
            <wp:effectExtent l="0" t="0" r="6350" b="635"/>
            <wp:docPr id="15" name="Picture 15" descr="woodproducts_growt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dproducts_growth2"/>
                    <pic:cNvPicPr>
                      <a:picLocks noChangeAspect="1" noChangeArrowheads="1"/>
                    </pic:cNvPicPr>
                  </pic:nvPicPr>
                  <pic:blipFill>
                    <a:blip r:embed="rId255" cstate="screen">
                      <a:extLst>
                        <a:ext uri="{28A0092B-C50C-407E-A947-70E740481C1C}">
                          <a14:useLocalDpi xmlns:a14="http://schemas.microsoft.com/office/drawing/2010/main"/>
                        </a:ext>
                      </a:extLst>
                    </a:blip>
                    <a:srcRect/>
                    <a:stretch>
                      <a:fillRect/>
                    </a:stretch>
                  </pic:blipFill>
                  <pic:spPr bwMode="auto">
                    <a:xfrm>
                      <a:off x="0" y="0"/>
                      <a:ext cx="4567968" cy="3163509"/>
                    </a:xfrm>
                    <a:prstGeom prst="rect">
                      <a:avLst/>
                    </a:prstGeom>
                    <a:noFill/>
                    <a:ln>
                      <a:noFill/>
                    </a:ln>
                  </pic:spPr>
                </pic:pic>
              </a:graphicData>
            </a:graphic>
          </wp:inline>
        </w:drawing>
      </w:r>
    </w:p>
    <w:p w:rsidR="0077438E" w:rsidRDefault="0077438E" w:rsidP="0077438E">
      <w:proofErr w:type="spellStart"/>
      <w:r>
        <w:t>Lehner</w:t>
      </w:r>
      <w:proofErr w:type="spellEnd"/>
      <w:r>
        <w:t xml:space="preserve">, J. 2012. </w:t>
      </w:r>
      <w:r w:rsidRPr="00C54638">
        <w:t>Historical Look at Oregon’s Wood Product Industry</w:t>
      </w:r>
      <w:r>
        <w:t xml:space="preserve">. </w:t>
      </w:r>
      <w:hyperlink r:id="rId256" w:history="1">
        <w:r w:rsidRPr="004B208D">
          <w:rPr>
            <w:rStyle w:val="Hyperlink"/>
          </w:rPr>
          <w:t>http://oregoneconomicanalysis.com/2012/01/23/historical-look-at-oregons-wood-product-industry/</w:t>
        </w:r>
      </w:hyperlink>
      <w:r>
        <w:t xml:space="preserve"> </w:t>
      </w:r>
    </w:p>
    <w:p w:rsidR="0077438E" w:rsidRDefault="0077438E" w:rsidP="0077438E"/>
    <w:p w:rsidR="0077438E" w:rsidRDefault="0077438E" w:rsidP="0077438E">
      <w:r>
        <w:t>Timber industry volatility would have its greatest effect in local communities that have the lowest levels of economic diversity, the greatest dependence on commodity production, and would therefore see the greatest fluctuations in jobs and income.</w:t>
      </w:r>
    </w:p>
    <w:p w:rsidR="0077438E" w:rsidRDefault="0077438E" w:rsidP="0077438E"/>
    <w:p w:rsidR="0077438E" w:rsidRDefault="0077438E" w:rsidP="0077438E">
      <w:r>
        <w:t xml:space="preserve">Local communities would likely be better off both economically and otherwise if they embraced non-extractive uses of nearby national forests, so they can support ecosystem services like clean water, carbon storage, recreation, and quality of life that would support a much more diverse and stable economic base. The proposition that natural resources are a source of wealth is disproven by the evidence that “Remoteness, as measured by urban influence code, has a negative effect on every measure of economic development indicator. It reduces income, employment, housing prices and total developed areas.” If natural resources were a source of wealth remoteness would enhance wealth but the evidence shows that it does just the opposite. Note however, that the negative effects of remoteness can be mitigated in part through natural amenities that attract people who are willing to trade lower wages for higher quality of life. These are important considerations in the analysis of community welfare related to federal land management. </w:t>
      </w:r>
      <w:proofErr w:type="spellStart"/>
      <w:r>
        <w:t>JunJie</w:t>
      </w:r>
      <w:proofErr w:type="spellEnd"/>
      <w:r>
        <w:t xml:space="preserve"> Wu, </w:t>
      </w:r>
      <w:proofErr w:type="spellStart"/>
      <w:r>
        <w:t>Munisamy</w:t>
      </w:r>
      <w:proofErr w:type="spellEnd"/>
      <w:r>
        <w:t xml:space="preserve"> </w:t>
      </w:r>
      <w:proofErr w:type="spellStart"/>
      <w:r>
        <w:t>Gopinath</w:t>
      </w:r>
      <w:proofErr w:type="spellEnd"/>
      <w:r>
        <w:t xml:space="preserve">. 2005. How Do Location Decisions of Firms and Households Affect Economic Development in Rural America? Selected Paper prepared for presentation at the American Agricultural Economic Association Annual Meeting, Providence, Rhode Island, July 24-27, 2005. </w:t>
      </w:r>
      <w:hyperlink r:id="rId257" w:history="1">
        <w:r>
          <w:rPr>
            <w:rStyle w:val="Hyperlink"/>
          </w:rPr>
          <w:t>http://ageconsearch.umn.edu/bitstream/19229/1/sp05wu02.pdf</w:t>
        </w:r>
      </w:hyperlink>
      <w:r>
        <w:t xml:space="preserve">. </w:t>
      </w:r>
      <w:hyperlink r:id="rId258" w:history="1">
        <w:r>
          <w:rPr>
            <w:rStyle w:val="Hyperlink"/>
          </w:rPr>
          <w:t>http://web.archive.org/web/20090115192759/http://oregonstate.edu/dept/ncs/newsarch/2008/Aug08/remotecommunities.html</w:t>
        </w:r>
      </w:hyperlink>
      <w:r>
        <w:t xml:space="preserve"> </w:t>
      </w:r>
    </w:p>
    <w:p w:rsidR="0077438E" w:rsidRDefault="0077438E" w:rsidP="0077438E"/>
    <w:p w:rsidR="0077438E" w:rsidRDefault="0077438E" w:rsidP="0077438E">
      <w:r>
        <w:t xml:space="preserve">Forests are more valuable, and better serve to stabilize communities, when they are protected from logging than when they are logged. Well-conserved forests provide numerous valuable ecosystem services, such as water purification, flood control, slope stability, nutrient cycling, habitat for fish &amp; wildlife, recovery of imperiled species, recreation, scenic views, and quality of life. Conserved forests contribute to our quality of life which is one of the most valuable economic development assets we have. Quality of life provided by forests and watersheds represent a “second paycheck” enjoyed by everyone who lives and visits the northwest. Logging cuts our second paycheck and makes us all poorer. </w:t>
      </w:r>
      <w:proofErr w:type="spellStart"/>
      <w:r>
        <w:t>Congrove</w:t>
      </w:r>
      <w:proofErr w:type="spellEnd"/>
      <w:r>
        <w:t xml:space="preserve">, </w:t>
      </w:r>
      <w:proofErr w:type="spellStart"/>
      <w:r>
        <w:t>Niemi</w:t>
      </w:r>
      <w:proofErr w:type="spellEnd"/>
      <w:r>
        <w:t xml:space="preserve">, Fifield. 2000. Seeing the Forest for Their Green: Economic Benefits of Forest Protection, Recreation and Restoration. </w:t>
      </w:r>
      <w:proofErr w:type="spellStart"/>
      <w:r>
        <w:t>ECONorthwest</w:t>
      </w:r>
      <w:proofErr w:type="spellEnd"/>
      <w:r>
        <w:t xml:space="preserve"> 2000. Prepared for the Sierra Club.</w:t>
      </w:r>
    </w:p>
    <w:p w:rsidR="0077438E" w:rsidRDefault="00347CB8" w:rsidP="0077438E">
      <w:hyperlink r:id="rId259" w:history="1">
        <w:r w:rsidR="0077438E">
          <w:rPr>
            <w:rStyle w:val="Hyperlink"/>
          </w:rPr>
          <w:t>http://www.econw.com/media/ap_files/FR2-Seeing-Forests-For-Green_ECONorthwest.pdf</w:t>
        </w:r>
      </w:hyperlink>
      <w:r w:rsidR="0077438E">
        <w:t xml:space="preserve">. See also, </w:t>
      </w:r>
      <w:proofErr w:type="spellStart"/>
      <w:r w:rsidR="0077438E">
        <w:t>Niemi</w:t>
      </w:r>
      <w:proofErr w:type="spellEnd"/>
      <w:r w:rsidR="0077438E">
        <w:t xml:space="preserve">, E. 2017. Memo to Oregon Board of Forestry on </w:t>
      </w:r>
      <w:r w:rsidR="0077438E" w:rsidRPr="00071A01">
        <w:t>Oregon's Forest Economy</w:t>
      </w:r>
      <w:r w:rsidR="0077438E">
        <w:t xml:space="preserve"> </w:t>
      </w:r>
      <w:r w:rsidR="0077438E" w:rsidRPr="00071A01">
        <w:t>-</w:t>
      </w:r>
      <w:r w:rsidR="0077438E">
        <w:t xml:space="preserve"> </w:t>
      </w:r>
      <w:r w:rsidR="0077438E" w:rsidRPr="00071A01">
        <w:t>Importance Of Unlogged Forests</w:t>
      </w:r>
      <w:r w:rsidR="0077438E">
        <w:t xml:space="preserve">.  July 25, 2017. </w:t>
      </w:r>
      <w:hyperlink r:id="rId260" w:history="1">
        <w:r w:rsidR="0077438E" w:rsidRPr="009A213C">
          <w:rPr>
            <w:rStyle w:val="Hyperlink"/>
          </w:rPr>
          <w:t>http://www.oregon.gov/ODF/Board/Documents/BOF/20170725/BOFMIN_20170725_ATTCH_02.pdf</w:t>
        </w:r>
      </w:hyperlink>
      <w:r w:rsidR="0077438E">
        <w:t>. This memo describes a compelling analytic framework for describing market and non-market values from consumptive and non-consumptive ecosystem services provided by forests. This analytic framework should be used in the NEPA analysis.</w:t>
      </w:r>
    </w:p>
    <w:p w:rsidR="0077438E" w:rsidRDefault="0077438E" w:rsidP="0077438E"/>
    <w:p w:rsidR="0077438E" w:rsidRDefault="0077438E" w:rsidP="0077438E">
      <w:r>
        <w:t>To reinforce the idea that Oregon’s economy depends on our quality of life, consider that -</w:t>
      </w:r>
    </w:p>
    <w:p w:rsidR="0077438E" w:rsidRDefault="0077438E" w:rsidP="0077438E">
      <w:pPr>
        <w:ind w:left="720"/>
      </w:pPr>
      <w:r>
        <w:t>M</w:t>
      </w:r>
      <w:r w:rsidRPr="002A6C51">
        <w:t>igration is vital to Oregon’s economic health. It is one of the two primary reasons Oregon outperforms the typical state during an economic expansion.</w:t>
      </w:r>
      <w:r>
        <w:t xml:space="preserve"> …</w:t>
      </w:r>
      <w:r w:rsidRPr="002A6C51">
        <w:t xml:space="preserve"> In both good times and bad, Americans want to live in and move to Oregon. In fact, Americans have been moving to Oregon in droves since Lewis and Clark and are likely to continue to do so. Our state’s ability to attract skilled, young working age households is a huge economic benefit. We rank quite well on the brain gain spectrum (the opposite of the brain drain).</w:t>
      </w:r>
      <w:r>
        <w:t xml:space="preserve"> … </w:t>
      </w:r>
      <w:r w:rsidRPr="002A6C51">
        <w:t>Why do they come? Beyond a high quality of life, or high quality of place, migration is usually driven, economically speaking, by job opportunities and relative home prices.</w:t>
      </w:r>
      <w:r>
        <w:t xml:space="preserve"> … Again, </w:t>
      </w:r>
      <w:r w:rsidRPr="002A6C51">
        <w:t>from an economic perspective, all of this migration into Oregon, both from California and elsewhere, is a positive development. It brings both skilled, young households who will set down roots (no, they are not all degree holding baristas) and a strong influx of retirees with a lifetime of experience and some wealth.</w:t>
      </w:r>
    </w:p>
    <w:p w:rsidR="0077438E" w:rsidRDefault="0077438E" w:rsidP="0077438E">
      <w:proofErr w:type="spellStart"/>
      <w:r>
        <w:t>Lehner</w:t>
      </w:r>
      <w:proofErr w:type="spellEnd"/>
      <w:r>
        <w:t>, J. 2015. “</w:t>
      </w:r>
      <w:r w:rsidRPr="002A6C51">
        <w:t>Migration (In Defense of Californians)</w:t>
      </w:r>
      <w:r>
        <w:t xml:space="preserve">.” Oregon Office of Economic Analysis. 9-8-2015. </w:t>
      </w:r>
      <w:hyperlink r:id="rId261" w:history="1">
        <w:r w:rsidRPr="006D7F78">
          <w:rPr>
            <w:rStyle w:val="Hyperlink"/>
          </w:rPr>
          <w:t>https://oregoneconomicanalysis.com/2015/09/08/migration-in-defense-of-californians/</w:t>
        </w:r>
      </w:hyperlink>
      <w:r>
        <w:t xml:space="preserve"> </w:t>
      </w:r>
    </w:p>
    <w:p w:rsidR="00C86A7F" w:rsidRPr="00C86A7F" w:rsidRDefault="00C86A7F" w:rsidP="0077438E"/>
    <w:p w:rsidR="006647DA" w:rsidRDefault="006647DA" w:rsidP="006647DA">
      <w:pPr>
        <w:pStyle w:val="Heading2"/>
      </w:pPr>
      <w:bookmarkStart w:id="45" w:name="_Toc53483513"/>
      <w:r>
        <w:t>REASONABLE ALTERNATIVES NOT CONSIDERED</w:t>
      </w:r>
      <w:bookmarkEnd w:id="45"/>
    </w:p>
    <w:p w:rsidR="006647DA" w:rsidRDefault="006647DA" w:rsidP="006647DA">
      <w:pPr>
        <w:spacing w:line="240" w:lineRule="auto"/>
        <w:textAlignment w:val="baseline"/>
      </w:pPr>
      <w:r>
        <w:rPr>
          <w:rFonts w:eastAsia="Times New Roman"/>
          <w:color w:val="000000"/>
        </w:rPr>
        <w:t xml:space="preserve">NEPA requires the FS to consider all reasonable alternatives. Oregon Wild’s May 15, 2020 pre-scoping comments suggested a variety of needed plan amendments that the FS could have considered. Some of the alternatives suggested in pre-scoping would require a slight adjustment to the purpose and need but we contend it would represent an improvement. </w:t>
      </w:r>
      <w:r>
        <w:t xml:space="preserve">The FS failed to </w:t>
      </w:r>
      <w:r>
        <w:lastRenderedPageBreak/>
        <w:t xml:space="preserve">explain why these were not considered. Why has the FS neglected to bring its forest plans in line with new information about the need for greater conservation, such as forest conservation for climate mitigation, modifying grazing practices, and conserving small roadless areas? Why is the FS proposing a narrow amendment that increases logging without considering all the other new information about the need for conservation? </w:t>
      </w:r>
    </w:p>
    <w:p w:rsidR="006647DA" w:rsidRDefault="006647DA" w:rsidP="006647DA">
      <w:pPr>
        <w:spacing w:line="240" w:lineRule="auto"/>
        <w:textAlignment w:val="baseline"/>
      </w:pPr>
    </w:p>
    <w:p w:rsidR="006647DA" w:rsidRDefault="006647DA" w:rsidP="006647DA">
      <w:pPr>
        <w:spacing w:line="240" w:lineRule="auto"/>
        <w:textAlignment w:val="baseline"/>
      </w:pPr>
      <w:r>
        <w:t>Instead of rejecting alternatives based on conclusory statements and assertions, the FS must  fully consider all reasonable alternatives and show the effects so that the public and decision-maker can be better informed of alternatives and their effects.</w:t>
      </w:r>
    </w:p>
    <w:p w:rsidR="006647DA" w:rsidRDefault="006647DA" w:rsidP="006647DA">
      <w:pPr>
        <w:spacing w:line="240" w:lineRule="auto"/>
        <w:textAlignment w:val="baseline"/>
      </w:pPr>
    </w:p>
    <w:p w:rsidR="006647DA" w:rsidRPr="00617699" w:rsidRDefault="006647DA" w:rsidP="006647DA">
      <w:pPr>
        <w:spacing w:line="240" w:lineRule="auto"/>
        <w:textAlignment w:val="baseline"/>
      </w:pPr>
      <w:r>
        <w:t>The FS rejected some alternative because they would not allow the FS to prevent mortality. This is a flawed rationale because fails to recognize that natural tree mortality is an ecological necessity in natural forests and much preferable to logging mortality that exports the ecological benefits of large tree mortality from the forest.</w:t>
      </w:r>
    </w:p>
    <w:p w:rsidR="006647DA" w:rsidRDefault="006647DA" w:rsidP="006647DA">
      <w:pPr>
        <w:spacing w:line="240" w:lineRule="auto"/>
        <w:textAlignment w:val="baseline"/>
        <w:rPr>
          <w:rFonts w:eastAsia="Times New Roman"/>
          <w:color w:val="000000"/>
        </w:rPr>
      </w:pPr>
    </w:p>
    <w:p w:rsidR="006647DA" w:rsidRDefault="006647DA" w:rsidP="006647DA">
      <w:pPr>
        <w:spacing w:line="240" w:lineRule="auto"/>
        <w:textAlignment w:val="baseline"/>
        <w:rPr>
          <w:rFonts w:eastAsia="Times New Roman"/>
          <w:color w:val="000000"/>
        </w:rPr>
      </w:pPr>
      <w:r>
        <w:rPr>
          <w:rFonts w:eastAsia="Times New Roman"/>
          <w:color w:val="000000"/>
        </w:rPr>
        <w:t>We set forth below several NEPA alternatives that would meet the purpose and need and must be considered in the NEPA analysis.</w:t>
      </w:r>
    </w:p>
    <w:p w:rsidR="006647DA" w:rsidRDefault="006647DA" w:rsidP="006647DA">
      <w:pPr>
        <w:numPr>
          <w:ilvl w:val="0"/>
          <w:numId w:val="14"/>
        </w:numPr>
        <w:spacing w:after="200" w:line="240" w:lineRule="auto"/>
        <w:textAlignment w:val="baseline"/>
        <w:rPr>
          <w:rFonts w:eastAsia="Times New Roman"/>
          <w:color w:val="000000"/>
        </w:rPr>
      </w:pPr>
      <w:r w:rsidRPr="0071501D">
        <w:rPr>
          <w:rFonts w:eastAsia="Times New Roman"/>
          <w:i/>
          <w:color w:val="000000"/>
        </w:rPr>
        <w:t xml:space="preserve">No Action Sub-Alternative, aka </w:t>
      </w:r>
      <w:r>
        <w:rPr>
          <w:rFonts w:eastAsia="Times New Roman"/>
          <w:i/>
          <w:color w:val="000000"/>
        </w:rPr>
        <w:t xml:space="preserve">“Large Snag Creation” or </w:t>
      </w:r>
      <w:r w:rsidRPr="0071501D">
        <w:rPr>
          <w:rFonts w:eastAsia="Times New Roman"/>
          <w:i/>
          <w:color w:val="000000"/>
        </w:rPr>
        <w:t>“Do The Right Thing”</w:t>
      </w:r>
      <w:r>
        <w:rPr>
          <w:rFonts w:eastAsia="Times New Roman"/>
          <w:color w:val="000000"/>
        </w:rPr>
        <w:t xml:space="preserve"> - </w:t>
      </w:r>
      <w:r w:rsidRPr="00E91EAF">
        <w:rPr>
          <w:rFonts w:eastAsia="Times New Roman"/>
          <w:color w:val="000000"/>
        </w:rPr>
        <w:t>The FS must consider a sub-alternative of the no action alternative that (</w:t>
      </w:r>
      <w:proofErr w:type="spellStart"/>
      <w:r w:rsidRPr="00E91EAF">
        <w:rPr>
          <w:rFonts w:eastAsia="Times New Roman"/>
          <w:color w:val="000000"/>
        </w:rPr>
        <w:t>i</w:t>
      </w:r>
      <w:proofErr w:type="spellEnd"/>
      <w:r w:rsidRPr="00E91EAF">
        <w:rPr>
          <w:rFonts w:eastAsia="Times New Roman"/>
          <w:color w:val="000000"/>
        </w:rPr>
        <w:t>) retains old trees regardless of size, both live and dead, and both inside and outside LOS, (ii) kills some large young shade-tolerant trees that are in direct competition with old trees</w:t>
      </w:r>
      <w:r>
        <w:rPr>
          <w:rFonts w:eastAsia="Times New Roman"/>
          <w:color w:val="000000"/>
        </w:rPr>
        <w:t>, and (iii) prunes lower branches on some shade-tolerant trees to reduce ladder fuels near old trees</w:t>
      </w:r>
      <w:r w:rsidRPr="00E91EAF">
        <w:rPr>
          <w:rFonts w:eastAsia="Times New Roman"/>
          <w:color w:val="000000"/>
        </w:rPr>
        <w:t>. These strategies are entirely consistent with the FS</w:t>
      </w:r>
      <w:r>
        <w:rPr>
          <w:rFonts w:eastAsia="Times New Roman"/>
          <w:color w:val="000000"/>
        </w:rPr>
        <w:t>’</w:t>
      </w:r>
      <w:r w:rsidRPr="00E91EAF">
        <w:rPr>
          <w:rFonts w:eastAsia="Times New Roman"/>
          <w:color w:val="000000"/>
        </w:rPr>
        <w:t xml:space="preserve"> existing authority under the Eastside Screens and better meet the overall restoration goals of the Screens</w:t>
      </w:r>
      <w:r>
        <w:rPr>
          <w:rFonts w:eastAsia="Times New Roman"/>
          <w:color w:val="000000"/>
        </w:rPr>
        <w:t>,</w:t>
      </w:r>
      <w:r w:rsidRPr="00E91EAF">
        <w:rPr>
          <w:rFonts w:eastAsia="Times New Roman"/>
          <w:color w:val="000000"/>
        </w:rPr>
        <w:t xml:space="preserve"> because it avoids many of the trade-offs of commercial logging and increases recruitment of large snags that are in short supply. </w:t>
      </w:r>
      <w:r>
        <w:rPr>
          <w:rFonts w:eastAsia="Times New Roman"/>
          <w:color w:val="000000"/>
        </w:rPr>
        <w:t>Such an a</w:t>
      </w:r>
      <w:r w:rsidRPr="00E91EAF">
        <w:rPr>
          <w:rFonts w:eastAsia="Times New Roman"/>
          <w:color w:val="000000"/>
        </w:rPr>
        <w:t xml:space="preserve">lternatives </w:t>
      </w:r>
      <w:r>
        <w:rPr>
          <w:rFonts w:eastAsia="Times New Roman"/>
          <w:color w:val="000000"/>
        </w:rPr>
        <w:t xml:space="preserve">also </w:t>
      </w:r>
      <w:r w:rsidRPr="00E91EAF">
        <w:rPr>
          <w:rFonts w:eastAsia="Times New Roman"/>
          <w:color w:val="000000"/>
        </w:rPr>
        <w:t xml:space="preserve">harmonize competing </w:t>
      </w:r>
      <w:r>
        <w:rPr>
          <w:rFonts w:eastAsia="Times New Roman"/>
          <w:color w:val="000000"/>
        </w:rPr>
        <w:t xml:space="preserve">diverse </w:t>
      </w:r>
      <w:r w:rsidRPr="00E91EAF">
        <w:rPr>
          <w:rFonts w:eastAsia="Times New Roman"/>
          <w:color w:val="000000"/>
        </w:rPr>
        <w:t xml:space="preserve">objectives including carbon </w:t>
      </w:r>
      <w:r>
        <w:rPr>
          <w:rFonts w:eastAsia="Times New Roman"/>
          <w:color w:val="000000"/>
        </w:rPr>
        <w:t>adaptation/mitigation</w:t>
      </w:r>
      <w:r w:rsidRPr="00E91EAF">
        <w:rPr>
          <w:rFonts w:eastAsia="Times New Roman"/>
          <w:color w:val="000000"/>
        </w:rPr>
        <w:t xml:space="preserve">, large snag habitat, wildlife cover, large tree conservation, </w:t>
      </w:r>
      <w:r>
        <w:rPr>
          <w:rFonts w:eastAsia="Times New Roman"/>
          <w:color w:val="000000"/>
        </w:rPr>
        <w:t xml:space="preserve">resilience, </w:t>
      </w:r>
      <w:r w:rsidRPr="00E91EAF">
        <w:rPr>
          <w:rFonts w:eastAsia="Times New Roman"/>
          <w:color w:val="000000"/>
        </w:rPr>
        <w:t>etc.</w:t>
      </w:r>
    </w:p>
    <w:p w:rsidR="006647DA" w:rsidRDefault="006647DA" w:rsidP="006647DA">
      <w:pPr>
        <w:ind w:left="360"/>
      </w:pPr>
      <w:r>
        <w:t>The EA improperly rejects an alternative to cut and retain large trees on site. The EA calls it “drop and leave,” but it could also be “kill and leave standing,” or “large snag creation” which would benefit snag habitat which is in short supply. The FS rejects this large snag creation alternative because the EA says it is consistent with the no action alternative. However, the FS failed to consider these silvicultural options as part of the no action alternative. The Forest Service cannot have it both ways, refusing to consider “large snag creation” alternative because it is part of the no action alternative, AND failing to consider large snag creation as part of the no action alternative.</w:t>
      </w:r>
    </w:p>
    <w:p w:rsidR="006647DA" w:rsidRDefault="006647DA" w:rsidP="006647DA">
      <w:pPr>
        <w:ind w:left="360"/>
      </w:pPr>
    </w:p>
    <w:p w:rsidR="006647DA" w:rsidRDefault="006647DA" w:rsidP="006647DA">
      <w:pPr>
        <w:ind w:left="360"/>
      </w:pPr>
      <w:r>
        <w:t>The NEPA analysis must be sure to fully and accurately disclose how the problems of tree stress and resilience can be addressed under the no action alternative using existing authority to create large snags. The effects analysis failed to clearly disclose that the proposed action will exacerbate the shortage of large snags, while the no action alternative/large snag creation alternative will mitigate the shortage of large snags.</w:t>
      </w:r>
    </w:p>
    <w:p w:rsidR="006647DA" w:rsidRDefault="006647DA" w:rsidP="006647DA">
      <w:pPr>
        <w:ind w:left="360"/>
      </w:pPr>
    </w:p>
    <w:p w:rsidR="006647DA" w:rsidRDefault="006647DA" w:rsidP="006647DA">
      <w:pPr>
        <w:ind w:left="360"/>
      </w:pPr>
      <w:r>
        <w:lastRenderedPageBreak/>
        <w:t>The effects analysis failed to accurately disclose the effects of the no action alternative. The EA (p 16) says “</w:t>
      </w:r>
      <w:r w:rsidRPr="00B91DCA">
        <w:t>we simulate typical timber harvest in the Forest Vegetation Simulator (FVS)</w:t>
      </w:r>
      <w:r>
        <w:t>.” FVS was not used to “</w:t>
      </w:r>
      <w:r w:rsidRPr="00FB2649">
        <w:t>mimic all potential alternative treatments, effects of those treatments, or all disturbances and succession dynamics</w:t>
      </w:r>
      <w:r>
        <w:t>” rather, it was used to simulate “</w:t>
      </w:r>
      <w:r w:rsidRPr="00FB2649">
        <w:t>stand level application of one genera</w:t>
      </w:r>
      <w:r>
        <w:t xml:space="preserve">lized silviculture prescription … density reduction … </w:t>
      </w:r>
      <w:r w:rsidRPr="00CB5136">
        <w:t>We applied a typical prescription designed to increase growing space for trees that remain on site, decrease competition and ecological stress (limited availability of water or light), and favor fire tolerant species.</w:t>
      </w:r>
      <w:r>
        <w:t>” (EA p 21). The EA failed to analyze the effects of no action in light of the FS’ admitted existing authority to convert large young shade-tolerant trees into ecologically valuable snags.</w:t>
      </w:r>
    </w:p>
    <w:p w:rsidR="006647DA" w:rsidRDefault="006647DA" w:rsidP="006647DA">
      <w:pPr>
        <w:ind w:left="360"/>
      </w:pPr>
    </w:p>
    <w:p w:rsidR="006647DA" w:rsidRDefault="006647DA" w:rsidP="006647DA">
      <w:pPr>
        <w:ind w:left="360"/>
      </w:pPr>
      <w:r>
        <w:t>This large snag creation alternative is superior to the proposed action in several ways. The proposed action removes large trees from the forest, which solves a perceived problem with tree competition and resilience, but creates another problem by exacerbating the shortage of large snags. An alternative that creates large snags actually solves several problems. It reduces tree competition, increases resilience, and helps mitigate the shortage of large snags.</w:t>
      </w:r>
    </w:p>
    <w:p w:rsidR="006647DA" w:rsidRDefault="006647DA" w:rsidP="006647DA">
      <w:pPr>
        <w:ind w:left="360"/>
      </w:pPr>
    </w:p>
    <w:p w:rsidR="006647DA" w:rsidRDefault="006647DA" w:rsidP="006647DA">
      <w:pPr>
        <w:ind w:left="360"/>
      </w:pPr>
      <w:r>
        <w:t>Creating snags instead of felling trees would also address the problem of surface fuels because the small fuels would fall slowly to the ground and not build up. Fuels from cut and retain could also be treated in the same way they are treated during timber sales: lop and scatter, jackpot burning, pile and burn, or prescribed fire. Concerns about fuel could also be mitigated by cutting smaller number of trees over time instead of many trees at one time.</w:t>
      </w:r>
    </w:p>
    <w:p w:rsidR="006647DA" w:rsidRDefault="006647DA" w:rsidP="006647DA">
      <w:pPr>
        <w:ind w:left="360"/>
      </w:pPr>
    </w:p>
    <w:p w:rsidR="006647DA" w:rsidRDefault="006647DA" w:rsidP="006647DA">
      <w:pPr>
        <w:ind w:left="360"/>
      </w:pPr>
      <w:r>
        <w:t>Snag creation would also be ecologically preferable to felling large trees, because snags provide ecological benefits that down wood does not, such as cavity nesting. The draft EA says this alternative is available under the no action alternative, so the NEPA analysis should carefully disclose the benefits of this approach when describing the effects of no action.</w:t>
      </w:r>
    </w:p>
    <w:p w:rsidR="006647DA" w:rsidRDefault="006647DA" w:rsidP="006647DA">
      <w:pPr>
        <w:ind w:left="360"/>
      </w:pPr>
    </w:p>
    <w:p w:rsidR="006647DA" w:rsidRDefault="006647DA" w:rsidP="006647DA">
      <w:pPr>
        <w:ind w:left="360"/>
      </w:pPr>
      <w:r>
        <w:t xml:space="preserve">The non-commercial snag creation alternative has several benefits that need to be reflected in the analysis. It not only retains valuable LOS features in the forest but also helps ensure that valuable LOS features are not sacrificed for the wrong reasons, such as to meet timber targets. The screens have kept large trees separate from economic incentives for a long time. There are significant ecological risks involved if conservation of large trees become entangled with economic motivations. </w:t>
      </w:r>
    </w:p>
    <w:p w:rsidR="006647DA" w:rsidRDefault="006647DA" w:rsidP="006647DA">
      <w:pPr>
        <w:ind w:left="360"/>
      </w:pPr>
    </w:p>
    <w:p w:rsidR="006647DA" w:rsidRDefault="006647DA" w:rsidP="006647DA">
      <w:pPr>
        <w:ind w:left="360"/>
      </w:pPr>
      <w:r>
        <w:t>There is precedent for doing large-scale snag recruitment on federal lands. BLM’s 2016 Plan Revision for Western Oregon requires BLM to create 10 snags per acre when logging in Late Successional Reserves.</w:t>
      </w:r>
    </w:p>
    <w:p w:rsidR="006647DA" w:rsidRPr="00B861B4" w:rsidRDefault="006647DA" w:rsidP="006647DA">
      <w:pPr>
        <w:ind w:left="360"/>
      </w:pPr>
    </w:p>
    <w:p w:rsidR="006647DA" w:rsidRPr="00E91EAF" w:rsidRDefault="006647DA" w:rsidP="006647DA">
      <w:pPr>
        <w:numPr>
          <w:ilvl w:val="0"/>
          <w:numId w:val="14"/>
        </w:numPr>
        <w:spacing w:after="200" w:line="240" w:lineRule="auto"/>
        <w:textAlignment w:val="baseline"/>
        <w:rPr>
          <w:rFonts w:eastAsia="Times New Roman"/>
          <w:color w:val="000000"/>
        </w:rPr>
      </w:pPr>
      <w:r w:rsidRPr="0071501D">
        <w:rPr>
          <w:rFonts w:eastAsia="Times New Roman"/>
          <w:i/>
          <w:color w:val="000000"/>
        </w:rPr>
        <w:t>Best Science Snag and Green Tree Alternative</w:t>
      </w:r>
      <w:r>
        <w:rPr>
          <w:rFonts w:eastAsia="Times New Roman"/>
          <w:color w:val="000000"/>
        </w:rPr>
        <w:t xml:space="preserve"> - The FS must consider alternatives to the snag and green tree replacement standard that retain the objective of managing for large </w:t>
      </w:r>
      <w:r>
        <w:rPr>
          <w:rFonts w:eastAsia="Times New Roman"/>
          <w:color w:val="000000"/>
        </w:rPr>
        <w:lastRenderedPageBreak/>
        <w:t xml:space="preserve">healthy populations of snag-associated wildlife (and the resilience benefits that come from that), while aligning the snag and green tree standard with the best available science, (e.g., </w:t>
      </w:r>
      <w:r w:rsidRPr="00E91EAF">
        <w:rPr>
          <w:rFonts w:eastAsia="Times New Roman"/>
          <w:color w:val="000000"/>
        </w:rPr>
        <w:t>80% DecAID tolerance levels</w:t>
      </w:r>
      <w:r>
        <w:rPr>
          <w:rFonts w:eastAsia="Times New Roman"/>
          <w:color w:val="000000"/>
        </w:rPr>
        <w:t>) for the wildlife most sensitive to the shortage of snags.</w:t>
      </w:r>
    </w:p>
    <w:p w:rsidR="006647DA" w:rsidRPr="00E91EAF" w:rsidRDefault="006647DA" w:rsidP="006647DA">
      <w:pPr>
        <w:numPr>
          <w:ilvl w:val="0"/>
          <w:numId w:val="14"/>
        </w:numPr>
        <w:spacing w:after="200" w:line="240" w:lineRule="auto"/>
        <w:textAlignment w:val="baseline"/>
        <w:rPr>
          <w:rFonts w:eastAsia="Times New Roman"/>
          <w:color w:val="000000"/>
        </w:rPr>
      </w:pPr>
      <w:r w:rsidRPr="0071501D">
        <w:rPr>
          <w:rFonts w:eastAsia="Times New Roman"/>
          <w:i/>
          <w:color w:val="000000"/>
        </w:rPr>
        <w:t>Protect Large Trees Inside LOS Alternative</w:t>
      </w:r>
      <w:r w:rsidRPr="0071501D">
        <w:rPr>
          <w:rFonts w:eastAsia="Times New Roman"/>
          <w:color w:val="000000"/>
        </w:rPr>
        <w:t xml:space="preserve"> - </w:t>
      </w:r>
      <w:r>
        <w:rPr>
          <w:rFonts w:eastAsia="Times New Roman"/>
          <w:color w:val="000000"/>
        </w:rPr>
        <w:t xml:space="preserve">The FS should consider an alternative that adopts </w:t>
      </w:r>
      <w:r w:rsidRPr="00E91EAF">
        <w:rPr>
          <w:rFonts w:eastAsia="Times New Roman"/>
          <w:color w:val="000000"/>
        </w:rPr>
        <w:t>conservative diameter limits for treatments within LOS. </w:t>
      </w:r>
      <w:r>
        <w:rPr>
          <w:rFonts w:eastAsia="Times New Roman"/>
          <w:color w:val="000000"/>
        </w:rPr>
        <w:t xml:space="preserve">As currently written, the FS could remove large trees from LOS as long as they maintain the bare minimum LOS criteria (which remain vaguely defined and elusive). The FS should consider an alternative that meets the intent of the screens by retaining LOS components when conducting treatments within LOS. </w:t>
      </w:r>
    </w:p>
    <w:p w:rsidR="006647DA" w:rsidRPr="00E91EAF" w:rsidRDefault="006647DA" w:rsidP="006647DA">
      <w:pPr>
        <w:numPr>
          <w:ilvl w:val="0"/>
          <w:numId w:val="14"/>
        </w:numPr>
        <w:spacing w:after="200" w:line="240" w:lineRule="auto"/>
        <w:textAlignment w:val="baseline"/>
        <w:rPr>
          <w:rFonts w:eastAsia="Times New Roman"/>
          <w:color w:val="000000"/>
        </w:rPr>
      </w:pPr>
      <w:r w:rsidRPr="0071501D">
        <w:rPr>
          <w:rFonts w:eastAsia="Times New Roman"/>
          <w:i/>
          <w:color w:val="000000"/>
        </w:rPr>
        <w:t>Direct Competition Alternative</w:t>
      </w:r>
      <w:r>
        <w:rPr>
          <w:rFonts w:eastAsia="Times New Roman"/>
          <w:color w:val="000000"/>
        </w:rPr>
        <w:t xml:space="preserve"> - The FS should adopt a narrow amendment allowing removal of shade-tolerant trees 21-26” dbh AND &lt;100 years old when in direct competition with old trees (i.e., within the dripline of shade-intolerant trees &gt;200 years old). </w:t>
      </w:r>
    </w:p>
    <w:p w:rsidR="006647DA" w:rsidRPr="00E91EAF" w:rsidRDefault="006647DA" w:rsidP="006647DA">
      <w:pPr>
        <w:numPr>
          <w:ilvl w:val="0"/>
          <w:numId w:val="14"/>
        </w:numPr>
        <w:spacing w:after="200" w:line="240" w:lineRule="auto"/>
        <w:textAlignment w:val="baseline"/>
        <w:rPr>
          <w:rFonts w:eastAsia="Times New Roman"/>
          <w:color w:val="000000"/>
        </w:rPr>
      </w:pPr>
      <w:r w:rsidRPr="0071501D">
        <w:rPr>
          <w:rFonts w:eastAsia="Times New Roman"/>
          <w:i/>
          <w:color w:val="000000"/>
        </w:rPr>
        <w:t>Conserve Sensitive Areas Alternative</w:t>
      </w:r>
      <w:r>
        <w:rPr>
          <w:rFonts w:eastAsia="Times New Roman"/>
          <w:color w:val="000000"/>
        </w:rPr>
        <w:t xml:space="preserve"> - The FS should consider an alternative that excludes</w:t>
      </w:r>
      <w:r w:rsidRPr="00E91EAF">
        <w:rPr>
          <w:rFonts w:eastAsia="Times New Roman"/>
          <w:color w:val="000000"/>
        </w:rPr>
        <w:t xml:space="preserve"> </w:t>
      </w:r>
      <w:r>
        <w:rPr>
          <w:rFonts w:eastAsia="Times New Roman"/>
          <w:color w:val="000000"/>
        </w:rPr>
        <w:t>c</w:t>
      </w:r>
      <w:r w:rsidRPr="00E91EAF">
        <w:rPr>
          <w:rFonts w:eastAsia="Times New Roman"/>
          <w:color w:val="000000"/>
        </w:rPr>
        <w:t xml:space="preserve">ertain </w:t>
      </w:r>
      <w:r>
        <w:rPr>
          <w:rFonts w:eastAsia="Times New Roman"/>
          <w:color w:val="000000"/>
        </w:rPr>
        <w:t>sensitive areas and l</w:t>
      </w:r>
      <w:r w:rsidRPr="00E91EAF">
        <w:rPr>
          <w:rFonts w:eastAsia="Times New Roman"/>
          <w:color w:val="000000"/>
        </w:rPr>
        <w:t xml:space="preserve">and </w:t>
      </w:r>
      <w:r>
        <w:rPr>
          <w:rFonts w:eastAsia="Times New Roman"/>
          <w:color w:val="000000"/>
        </w:rPr>
        <w:t>a</w:t>
      </w:r>
      <w:r w:rsidRPr="00E91EAF">
        <w:rPr>
          <w:rFonts w:eastAsia="Times New Roman"/>
          <w:color w:val="000000"/>
        </w:rPr>
        <w:t xml:space="preserve">llocations from this </w:t>
      </w:r>
      <w:r>
        <w:rPr>
          <w:rFonts w:eastAsia="Times New Roman"/>
          <w:color w:val="000000"/>
        </w:rPr>
        <w:t>p</w:t>
      </w:r>
      <w:r w:rsidRPr="00E91EAF">
        <w:rPr>
          <w:rFonts w:eastAsia="Times New Roman"/>
          <w:color w:val="000000"/>
        </w:rPr>
        <w:t xml:space="preserve">lan </w:t>
      </w:r>
      <w:r>
        <w:rPr>
          <w:rFonts w:eastAsia="Times New Roman"/>
          <w:color w:val="000000"/>
        </w:rPr>
        <w:t>a</w:t>
      </w:r>
      <w:r w:rsidRPr="00E91EAF">
        <w:rPr>
          <w:rFonts w:eastAsia="Times New Roman"/>
          <w:color w:val="000000"/>
        </w:rPr>
        <w:t xml:space="preserve">mendment, such as RHCA, wildlife habitat/big game </w:t>
      </w:r>
      <w:r>
        <w:rPr>
          <w:rFonts w:eastAsia="Times New Roman"/>
          <w:color w:val="000000"/>
        </w:rPr>
        <w:t xml:space="preserve">cover </w:t>
      </w:r>
      <w:r w:rsidRPr="00E91EAF">
        <w:rPr>
          <w:rFonts w:eastAsia="Times New Roman"/>
          <w:color w:val="000000"/>
        </w:rPr>
        <w:t>areas, scenic/recreation areas, unroaded areas &gt;1,000 acres, </w:t>
      </w:r>
      <w:r>
        <w:rPr>
          <w:rFonts w:eastAsia="Times New Roman"/>
          <w:color w:val="000000"/>
        </w:rPr>
        <w:t>etc.</w:t>
      </w:r>
    </w:p>
    <w:p w:rsidR="006647DA" w:rsidRDefault="006647DA" w:rsidP="006647DA">
      <w:pPr>
        <w:numPr>
          <w:ilvl w:val="0"/>
          <w:numId w:val="14"/>
        </w:numPr>
        <w:spacing w:after="200" w:line="240" w:lineRule="auto"/>
        <w:textAlignment w:val="baseline"/>
        <w:rPr>
          <w:rFonts w:eastAsia="Times New Roman"/>
          <w:color w:val="000000"/>
        </w:rPr>
      </w:pPr>
      <w:r w:rsidRPr="00BC7E0D">
        <w:rPr>
          <w:rFonts w:eastAsia="Times New Roman"/>
          <w:i/>
          <w:color w:val="000000"/>
        </w:rPr>
        <w:t>Climate Harmony Alternative -</w:t>
      </w:r>
      <w:r>
        <w:rPr>
          <w:rFonts w:eastAsia="Times New Roman"/>
          <w:color w:val="000000"/>
        </w:rPr>
        <w:t xml:space="preserve"> The FS must make carbon storage part of the purpose and need for this plan amendment and all vegetation management projects because failing to do so is morally perilous, then the FS should consider an a</w:t>
      </w:r>
      <w:r w:rsidRPr="00E91EAF">
        <w:rPr>
          <w:rFonts w:eastAsia="Times New Roman"/>
          <w:color w:val="000000"/>
        </w:rPr>
        <w:t xml:space="preserve">lternatives that </w:t>
      </w:r>
      <w:r>
        <w:rPr>
          <w:rFonts w:eastAsia="Times New Roman"/>
          <w:color w:val="000000"/>
        </w:rPr>
        <w:t>h</w:t>
      </w:r>
      <w:r w:rsidRPr="00E91EAF">
        <w:rPr>
          <w:rFonts w:eastAsia="Times New Roman"/>
          <w:color w:val="000000"/>
        </w:rPr>
        <w:t>armonize</w:t>
      </w:r>
      <w:r>
        <w:rPr>
          <w:rFonts w:eastAsia="Times New Roman"/>
          <w:color w:val="000000"/>
        </w:rPr>
        <w:t>s</w:t>
      </w:r>
      <w:r w:rsidRPr="00E91EAF">
        <w:rPr>
          <w:rFonts w:eastAsia="Times New Roman"/>
          <w:color w:val="000000"/>
        </w:rPr>
        <w:t xml:space="preserve"> </w:t>
      </w:r>
      <w:r>
        <w:rPr>
          <w:rFonts w:eastAsia="Times New Roman"/>
          <w:color w:val="000000"/>
        </w:rPr>
        <w:t>c</w:t>
      </w:r>
      <w:r w:rsidRPr="00E91EAF">
        <w:rPr>
          <w:rFonts w:eastAsia="Times New Roman"/>
          <w:color w:val="000000"/>
        </w:rPr>
        <w:t xml:space="preserve">limate </w:t>
      </w:r>
      <w:r>
        <w:rPr>
          <w:rFonts w:eastAsia="Times New Roman"/>
          <w:color w:val="000000"/>
        </w:rPr>
        <w:t>c</w:t>
      </w:r>
      <w:r w:rsidRPr="00E91EAF">
        <w:rPr>
          <w:rFonts w:eastAsia="Times New Roman"/>
          <w:color w:val="000000"/>
        </w:rPr>
        <w:t xml:space="preserve">hange </w:t>
      </w:r>
      <w:r>
        <w:rPr>
          <w:rFonts w:eastAsia="Times New Roman"/>
          <w:color w:val="000000"/>
        </w:rPr>
        <w:t>a</w:t>
      </w:r>
      <w:r w:rsidRPr="00E91EAF">
        <w:rPr>
          <w:rFonts w:eastAsia="Times New Roman"/>
          <w:color w:val="000000"/>
        </w:rPr>
        <w:t>daptation</w:t>
      </w:r>
      <w:r>
        <w:rPr>
          <w:rFonts w:eastAsia="Times New Roman"/>
          <w:color w:val="000000"/>
        </w:rPr>
        <w:t xml:space="preserve"> (small tree density reduction to increase resilience) </w:t>
      </w:r>
      <w:r w:rsidRPr="00E91EAF">
        <w:rPr>
          <w:rFonts w:eastAsia="Times New Roman"/>
          <w:color w:val="000000"/>
        </w:rPr>
        <w:t xml:space="preserve">and </w:t>
      </w:r>
      <w:r>
        <w:rPr>
          <w:rFonts w:eastAsia="Times New Roman"/>
          <w:color w:val="000000"/>
        </w:rPr>
        <w:t>c</w:t>
      </w:r>
      <w:r w:rsidRPr="00E91EAF">
        <w:rPr>
          <w:rFonts w:eastAsia="Times New Roman"/>
          <w:color w:val="000000"/>
        </w:rPr>
        <w:t xml:space="preserve">limate </w:t>
      </w:r>
      <w:r>
        <w:rPr>
          <w:rFonts w:eastAsia="Times New Roman"/>
          <w:color w:val="000000"/>
        </w:rPr>
        <w:t>c</w:t>
      </w:r>
      <w:r w:rsidRPr="00E91EAF">
        <w:rPr>
          <w:rFonts w:eastAsia="Times New Roman"/>
          <w:color w:val="000000"/>
        </w:rPr>
        <w:t xml:space="preserve">hange </w:t>
      </w:r>
      <w:r>
        <w:rPr>
          <w:rFonts w:eastAsia="Times New Roman"/>
          <w:color w:val="000000"/>
        </w:rPr>
        <w:t>m</w:t>
      </w:r>
      <w:r w:rsidRPr="00E91EAF">
        <w:rPr>
          <w:rFonts w:eastAsia="Times New Roman"/>
          <w:color w:val="000000"/>
        </w:rPr>
        <w:t>itigation</w:t>
      </w:r>
      <w:r>
        <w:rPr>
          <w:rFonts w:eastAsia="Times New Roman"/>
          <w:color w:val="000000"/>
        </w:rPr>
        <w:t xml:space="preserve"> (maintain and increase carbon storage consistent with the productive capacity of the land)</w:t>
      </w:r>
      <w:r w:rsidRPr="00E91EAF">
        <w:rPr>
          <w:rFonts w:eastAsia="Times New Roman"/>
          <w:color w:val="000000"/>
        </w:rPr>
        <w:t xml:space="preserve">. </w:t>
      </w:r>
    </w:p>
    <w:p w:rsidR="006647DA" w:rsidRDefault="006647DA" w:rsidP="006647DA">
      <w:pPr>
        <w:numPr>
          <w:ilvl w:val="0"/>
          <w:numId w:val="14"/>
        </w:numPr>
        <w:spacing w:after="200" w:line="240" w:lineRule="auto"/>
        <w:textAlignment w:val="baseline"/>
        <w:rPr>
          <w:rFonts w:eastAsia="Times New Roman"/>
          <w:color w:val="000000"/>
        </w:rPr>
      </w:pPr>
      <w:r w:rsidRPr="00BC7E0D">
        <w:rPr>
          <w:rFonts w:eastAsia="Times New Roman"/>
          <w:i/>
          <w:color w:val="000000"/>
        </w:rPr>
        <w:t>Focus on White fir/Grand fir Altern</w:t>
      </w:r>
      <w:r>
        <w:rPr>
          <w:rFonts w:eastAsia="Times New Roman"/>
          <w:i/>
          <w:color w:val="000000"/>
        </w:rPr>
        <w:t>a</w:t>
      </w:r>
      <w:r w:rsidRPr="00BC7E0D">
        <w:rPr>
          <w:rFonts w:eastAsia="Times New Roman"/>
          <w:i/>
          <w:color w:val="000000"/>
        </w:rPr>
        <w:t>tive</w:t>
      </w:r>
      <w:r>
        <w:rPr>
          <w:rFonts w:eastAsia="Times New Roman"/>
          <w:color w:val="000000"/>
        </w:rPr>
        <w:t xml:space="preserve"> - The FS should consider an alternative that retains protection of Douglas fir larger than 21” dbh. Douglas fir is not really shade-tolerant, nor is Douglas fir fire intolerant. It is more reasonable to include conserve Douglas fir similar to other shade-intolerant, fire-tolerant species like larch and Ponderosa pine.</w:t>
      </w:r>
    </w:p>
    <w:p w:rsidR="006647DA" w:rsidRPr="00E91EAF" w:rsidRDefault="006647DA" w:rsidP="006647DA">
      <w:pPr>
        <w:numPr>
          <w:ilvl w:val="0"/>
          <w:numId w:val="14"/>
        </w:numPr>
        <w:spacing w:after="200" w:line="240" w:lineRule="auto"/>
        <w:textAlignment w:val="baseline"/>
        <w:rPr>
          <w:rFonts w:eastAsia="Times New Roman"/>
          <w:color w:val="000000"/>
        </w:rPr>
      </w:pPr>
      <w:r w:rsidRPr="00BC7E0D">
        <w:rPr>
          <w:rFonts w:eastAsia="Times New Roman"/>
          <w:i/>
          <w:color w:val="000000"/>
        </w:rPr>
        <w:t>Standards, Not Guidelines Alternative</w:t>
      </w:r>
      <w:r>
        <w:rPr>
          <w:rFonts w:eastAsia="Times New Roman"/>
          <w:color w:val="000000"/>
        </w:rPr>
        <w:t xml:space="preserve"> - The FS should have considered alternatives that retained diameter limits as standards, instead of guidelines. This alternative would perform very similar to the guidelines, but would better maintain  public trust, and avoid conflicts between ecological and economic goals.</w:t>
      </w:r>
    </w:p>
    <w:p w:rsidR="006647DA" w:rsidRDefault="006647DA" w:rsidP="006647DA">
      <w:pPr>
        <w:spacing w:line="240" w:lineRule="auto"/>
        <w:textAlignment w:val="baseline"/>
        <w:rPr>
          <w:rFonts w:eastAsia="Times New Roman"/>
          <w:color w:val="000000"/>
        </w:rPr>
      </w:pPr>
      <w:r>
        <w:rPr>
          <w:rFonts w:eastAsia="Times New Roman"/>
          <w:color w:val="000000"/>
        </w:rPr>
        <w:t>Oregon Wild sent a letter to the FS on May 15, 2020 suggesting several reasonable alternatives AND several proposed plan amendments that are based on new science and information since the Screens were adopted.</w:t>
      </w:r>
    </w:p>
    <w:p w:rsidR="006647DA" w:rsidRDefault="006647DA" w:rsidP="006647DA">
      <w:pPr>
        <w:spacing w:line="240" w:lineRule="auto"/>
        <w:textAlignment w:val="baseline"/>
        <w:rPr>
          <w:rFonts w:eastAsia="Times New Roman"/>
          <w:color w:val="000000"/>
        </w:rPr>
      </w:pPr>
    </w:p>
    <w:p w:rsidR="006647DA" w:rsidRDefault="006647DA" w:rsidP="006647DA">
      <w:pPr>
        <w:ind w:left="360"/>
      </w:pPr>
      <w:r>
        <w:t xml:space="preserve">The Forest Service should consider several alternatives: </w:t>
      </w:r>
    </w:p>
    <w:p w:rsidR="006647DA" w:rsidRDefault="006647DA" w:rsidP="006647DA">
      <w:pPr>
        <w:pStyle w:val="ListParagraph"/>
        <w:numPr>
          <w:ilvl w:val="0"/>
          <w:numId w:val="18"/>
        </w:numPr>
      </w:pPr>
      <w:r>
        <w:t>Return to the original intent of the screens by adopting a 20” dbh limit (not 21”) protecting all large trees as recommended by scientists when the screens were first proposed, and incorporate new science by protecting large trees both live and dead trees and protecting all old trees (&gt;120 years) regardless of size;</w:t>
      </w:r>
    </w:p>
    <w:p w:rsidR="006647DA" w:rsidRDefault="006647DA" w:rsidP="006647DA">
      <w:pPr>
        <w:pStyle w:val="ListParagraph"/>
        <w:numPr>
          <w:ilvl w:val="0"/>
          <w:numId w:val="18"/>
        </w:numPr>
      </w:pPr>
      <w:r>
        <w:lastRenderedPageBreak/>
        <w:t>Accept the outcome of natural competition between large trees. Focus density reduction on small trees that can go a long way to meeting goals related to adjusting species composition, reducing hazardous fuels, reduce drought stress, reducing competition between trees, and protecting legacy trees;</w:t>
      </w:r>
    </w:p>
    <w:p w:rsidR="006647DA" w:rsidRDefault="006647DA" w:rsidP="006647DA">
      <w:pPr>
        <w:pStyle w:val="ListParagraph"/>
        <w:numPr>
          <w:ilvl w:val="0"/>
          <w:numId w:val="18"/>
        </w:numPr>
      </w:pPr>
      <w:r>
        <w:t>Girdle and/or fall and leave large trees, in the rare instance where large, young shade-tolerant trees in direct competition with well-defined shade-intolerant legacy trees. This will meet additional important restoration goals related to large snag habitat and down wood habitat;</w:t>
      </w:r>
    </w:p>
    <w:p w:rsidR="006647DA" w:rsidRDefault="006647DA" w:rsidP="006647DA">
      <w:pPr>
        <w:pStyle w:val="ListParagraph"/>
        <w:numPr>
          <w:ilvl w:val="0"/>
          <w:numId w:val="18"/>
        </w:numPr>
      </w:pPr>
      <w:r>
        <w:t xml:space="preserve">Fall and use the large, young shade-tolerant in habitat restoration efforts, such as wood placement in RHCAs or instream, adding down wood to tens of thousands of acres of old </w:t>
      </w:r>
      <w:proofErr w:type="spellStart"/>
      <w:r>
        <w:t>clearcuts</w:t>
      </w:r>
      <w:proofErr w:type="spellEnd"/>
      <w:r>
        <w:t xml:space="preserve"> or salvage units where down wood is severely lacking;</w:t>
      </w:r>
    </w:p>
    <w:p w:rsidR="006647DA" w:rsidRDefault="006647DA" w:rsidP="006647DA">
      <w:pPr>
        <w:pStyle w:val="ListParagraph"/>
        <w:numPr>
          <w:ilvl w:val="0"/>
          <w:numId w:val="18"/>
        </w:numPr>
      </w:pPr>
      <w:r>
        <w:t>Allow commercial removal of large trees only in extraordinary circumstances;</w:t>
      </w:r>
    </w:p>
    <w:p w:rsidR="006647DA" w:rsidRDefault="006647DA" w:rsidP="006647DA">
      <w:pPr>
        <w:pStyle w:val="ListParagraph"/>
        <w:numPr>
          <w:ilvl w:val="0"/>
          <w:numId w:val="18"/>
        </w:numPr>
      </w:pPr>
      <w:r>
        <w:t>Exclude certain areas and/or land allocations from this plan amendment, such as areas where there is a shortage of large trees, RHCAs, wildlife habitat/big game areas, scenic/recreation areas, unroaded areas &gt;1,000 acres, etc.;</w:t>
      </w:r>
    </w:p>
    <w:p w:rsidR="006647DA" w:rsidRDefault="006647DA" w:rsidP="006647DA">
      <w:pPr>
        <w:pStyle w:val="ListParagraph"/>
        <w:numPr>
          <w:ilvl w:val="0"/>
          <w:numId w:val="18"/>
        </w:numPr>
      </w:pPr>
      <w:r>
        <w:t>Mitigate the loss of large trees by using species-specific diameter limits, slightly larger than 20” dbh for shade-tolerant species, and slightly smaller than 20” for shade-intolerant species, e.g., 16” dbh for Ponderosa pine, and 24” dbh for white fir;</w:t>
      </w:r>
    </w:p>
    <w:p w:rsidR="006647DA" w:rsidRDefault="006647DA" w:rsidP="006647DA">
      <w:pPr>
        <w:pStyle w:val="ListParagraph"/>
        <w:numPr>
          <w:ilvl w:val="0"/>
          <w:numId w:val="18"/>
        </w:numPr>
      </w:pPr>
      <w:r>
        <w:t>Mitigate the loss of large trees by allowing the killing (and some limited removal) of large, young shade-tolerant trees within the dripline of shade-intolerant legacy trees, and narrowly define legacy trees, e.g., &gt;36” dbh;</w:t>
      </w:r>
    </w:p>
    <w:p w:rsidR="006647DA" w:rsidRDefault="006647DA" w:rsidP="006647DA">
      <w:pPr>
        <w:pStyle w:val="ListParagraph"/>
        <w:numPr>
          <w:ilvl w:val="0"/>
          <w:numId w:val="18"/>
        </w:numPr>
      </w:pPr>
      <w:r>
        <w:t>Protect large live AND dead trees. This is consistent with recent science and the expert recommendations in the May 11, 2020 Science Forum;</w:t>
      </w:r>
    </w:p>
    <w:p w:rsidR="006647DA" w:rsidRDefault="006647DA" w:rsidP="006647DA">
      <w:pPr>
        <w:pStyle w:val="ListParagraph"/>
        <w:numPr>
          <w:ilvl w:val="0"/>
          <w:numId w:val="18"/>
        </w:numPr>
      </w:pPr>
      <w:r>
        <w:t>Treat only a subset of large, young shade-tolerant trees within the dripline of legacy trees. Retain well-distributed clumps of trees that are common in natural forests;</w:t>
      </w:r>
    </w:p>
    <w:p w:rsidR="006647DA" w:rsidRDefault="006647DA" w:rsidP="006647DA">
      <w:pPr>
        <w:pStyle w:val="ListParagraph"/>
        <w:numPr>
          <w:ilvl w:val="0"/>
          <w:numId w:val="18"/>
        </w:numPr>
      </w:pPr>
      <w:r>
        <w:t>Allow tribal members to use some of the large, young shade-tolerant trees within the dripline of legacy trees for cultural purpose;</w:t>
      </w:r>
    </w:p>
    <w:p w:rsidR="006647DA" w:rsidRPr="00617699" w:rsidRDefault="006647DA" w:rsidP="006647DA">
      <w:pPr>
        <w:pStyle w:val="ListParagraph"/>
        <w:numPr>
          <w:ilvl w:val="0"/>
          <w:numId w:val="18"/>
        </w:numPr>
        <w:spacing w:line="240" w:lineRule="auto"/>
        <w:textAlignment w:val="baseline"/>
        <w:rPr>
          <w:rFonts w:eastAsia="Times New Roman"/>
          <w:color w:val="000000"/>
        </w:rPr>
      </w:pPr>
      <w:r>
        <w:t>Where large, young shade-tolerant tree have long canopies that may serve as ladder fuels, the Forest Service should consider alternatives such as: (</w:t>
      </w:r>
      <w:proofErr w:type="spellStart"/>
      <w:r>
        <w:t>i</w:t>
      </w:r>
      <w:proofErr w:type="spellEnd"/>
      <w:r>
        <w:t>) prune lower branches to raise the canopy base height, (ii) maintain the clumpy spatial pattern of trees on the landscape and tolerate group torching which is a natural feature of mixed severity fire regimes, and (iii) focus fuel reduction on smaller fuels closer to communities (especially the structure ignition zone) as the science recommends.</w:t>
      </w:r>
    </w:p>
    <w:p w:rsidR="006647DA" w:rsidRPr="00617699" w:rsidRDefault="006647DA" w:rsidP="006647DA">
      <w:pPr>
        <w:pStyle w:val="ListParagraph"/>
        <w:numPr>
          <w:ilvl w:val="0"/>
          <w:numId w:val="18"/>
        </w:numPr>
        <w:spacing w:line="240" w:lineRule="auto"/>
        <w:textAlignment w:val="baseline"/>
        <w:rPr>
          <w:rFonts w:eastAsia="Times New Roman"/>
          <w:color w:val="000000"/>
        </w:rPr>
      </w:pPr>
      <w:r>
        <w:t>Consider a full suite of conservation plan amendments described in these comments (below) to bring eastside forest management in line with current science regarding, fire management, livestock grazing, carbon storage, snag habitat, salvage logging, early seral habitat, and to protect and restore unroaded areas &gt;1,000 acres.</w:t>
      </w:r>
      <w:r w:rsidRPr="00617699">
        <w:rPr>
          <w:rFonts w:eastAsia="Times New Roman"/>
          <w:color w:val="000000"/>
        </w:rPr>
        <w:t xml:space="preserve"> </w:t>
      </w:r>
    </w:p>
    <w:p w:rsidR="006647DA" w:rsidRDefault="006647DA" w:rsidP="006647DA">
      <w:r>
        <w:t xml:space="preserve">      </w:t>
      </w:r>
    </w:p>
    <w:p w:rsidR="006647DA" w:rsidRDefault="006647DA" w:rsidP="006647DA">
      <w:r>
        <w:t xml:space="preserve">      * * *</w:t>
      </w:r>
    </w:p>
    <w:p w:rsidR="006647DA" w:rsidRDefault="006647DA" w:rsidP="006647DA">
      <w:pPr>
        <w:ind w:left="360"/>
      </w:pPr>
      <w:r>
        <w:t xml:space="preserve">The </w:t>
      </w:r>
      <w:hyperlink r:id="rId262" w:history="1">
        <w:r w:rsidRPr="007C0034">
          <w:rPr>
            <w:rStyle w:val="Hyperlink"/>
          </w:rPr>
          <w:t>science whitepaper</w:t>
        </w:r>
      </w:hyperlink>
      <w:r>
        <w:t xml:space="preserve"> on the project website suggests that an amendment is required to “allow </w:t>
      </w:r>
      <w:proofErr w:type="spellStart"/>
      <w:r>
        <w:t>decisionmakers</w:t>
      </w:r>
      <w:proofErr w:type="spellEnd"/>
      <w:r>
        <w:t xml:space="preserve"> and managers to act on scientific advances gained over the past 25 years.” This is amazing because the agency has been quite willing to overlook scientific </w:t>
      </w:r>
      <w:r>
        <w:lastRenderedPageBreak/>
        <w:t xml:space="preserve">advances over the last 25 years when new science calls for increased ecosystem conservation. Any attempt to weaken the protection of large trees should be part of a comprehensive effort to bring forest plan standards in line with current science. To that end, the Forest Service should consider other plan amendments that are needed even more urgently, such as: </w:t>
      </w:r>
    </w:p>
    <w:p w:rsidR="006647DA" w:rsidRDefault="006647DA" w:rsidP="006647DA">
      <w:pPr>
        <w:pStyle w:val="ListParagraph"/>
        <w:numPr>
          <w:ilvl w:val="0"/>
          <w:numId w:val="19"/>
        </w:numPr>
        <w:ind w:left="1080"/>
      </w:pPr>
      <w:r>
        <w:t>Mitigate for global climate change by reducing logging to reduce GHG emissions, and increase carbon storage.</w:t>
      </w:r>
    </w:p>
    <w:p w:rsidR="006647DA" w:rsidRDefault="006647DA" w:rsidP="006647DA">
      <w:pPr>
        <w:pStyle w:val="ListParagraph"/>
        <w:numPr>
          <w:ilvl w:val="0"/>
          <w:numId w:val="19"/>
        </w:numPr>
        <w:ind w:left="1080"/>
      </w:pPr>
      <w:r>
        <w:t>Prepare ecosystems for climate change by emphasizing biodiversity, connectivity, microclimate buffering, watershed protection, and natural disturbance regimes.</w:t>
      </w:r>
    </w:p>
    <w:p w:rsidR="006647DA" w:rsidRDefault="006647DA" w:rsidP="006647DA">
      <w:pPr>
        <w:pStyle w:val="ListParagraph"/>
        <w:numPr>
          <w:ilvl w:val="0"/>
          <w:numId w:val="19"/>
        </w:numPr>
        <w:ind w:left="1080"/>
      </w:pPr>
      <w:r>
        <w:t>Adopt new standards for managing forests before, during and after fire, that recognize the adverse effects of fuel reduction and fire suppression, and recognize the ecological value of the full range of fire severity, the value of legacy trees/snags/down-wood, and the value of complex early seral habitat.</w:t>
      </w:r>
    </w:p>
    <w:p w:rsidR="006647DA" w:rsidRDefault="006647DA" w:rsidP="006647DA">
      <w:pPr>
        <w:pStyle w:val="ListParagraph"/>
        <w:numPr>
          <w:ilvl w:val="0"/>
          <w:numId w:val="19"/>
        </w:numPr>
        <w:ind w:left="1080"/>
      </w:pPr>
      <w:r>
        <w:t>Adopt new science-based standards for snag and dead wood habitat to replace the scientifically discredited “potential population” methodology, and to respond to all the new information in the DecAID Advisor.</w:t>
      </w:r>
    </w:p>
    <w:p w:rsidR="006647DA" w:rsidRDefault="006647DA" w:rsidP="006647DA">
      <w:pPr>
        <w:pStyle w:val="ListParagraph"/>
        <w:numPr>
          <w:ilvl w:val="0"/>
          <w:numId w:val="19"/>
        </w:numPr>
        <w:ind w:left="1080"/>
      </w:pPr>
      <w:r>
        <w:t>Respond to new information showing that continued livestock grazing is adverse to aquatic/riparian/watershed functions, as well as adverse to forest health, and the increase in shade-tolerant trees on the landscape coincides with the initiation of wide-scale livestock grazing, not just fire exclusion.</w:t>
      </w:r>
    </w:p>
    <w:p w:rsidR="006647DA" w:rsidRDefault="006647DA" w:rsidP="006647DA">
      <w:pPr>
        <w:pStyle w:val="ListParagraph"/>
        <w:numPr>
          <w:ilvl w:val="0"/>
          <w:numId w:val="19"/>
        </w:numPr>
        <w:ind w:left="1080"/>
      </w:pPr>
      <w:r>
        <w:t>Respond to new information on the destabilizing influence of the boom-bust timber industry by changing the role of the National Forest in enhancing quality of life and spurring economic diversification.</w:t>
      </w:r>
    </w:p>
    <w:p w:rsidR="006647DA" w:rsidRDefault="006647DA" w:rsidP="006647DA">
      <w:pPr>
        <w:pStyle w:val="ListParagraph"/>
        <w:numPr>
          <w:ilvl w:val="0"/>
          <w:numId w:val="19"/>
        </w:numPr>
        <w:ind w:left="1080"/>
      </w:pPr>
      <w:r>
        <w:t>Mitigate for the invasion of the barred owl by protecting all suitable nesting, roosting, foraging habitat for northern spotted owl.</w:t>
      </w:r>
    </w:p>
    <w:p w:rsidR="006647DA" w:rsidRDefault="006647DA" w:rsidP="006647DA">
      <w:pPr>
        <w:pStyle w:val="ListParagraph"/>
        <w:numPr>
          <w:ilvl w:val="0"/>
          <w:numId w:val="19"/>
        </w:numPr>
        <w:ind w:left="1080"/>
      </w:pPr>
      <w:r>
        <w:t>The adverse impacts of roads on soil, water, wildlife, and weeds is greater than understood when the LRMPs were adopted, and the value of unroaded areas is greater than understood when the LRMPs were adopted. There is need to amend forest plan standards to discourage road construction, and protect/restore large blocks of unmanaged habitat (e.g., unroaded areas) consistent with the historic range of variability.</w:t>
      </w:r>
    </w:p>
    <w:p w:rsidR="006647DA" w:rsidRDefault="006647DA" w:rsidP="006647DA">
      <w:pPr>
        <w:ind w:left="360"/>
      </w:pPr>
    </w:p>
    <w:p w:rsidR="006647DA" w:rsidRDefault="006647DA" w:rsidP="006647DA">
      <w:pPr>
        <w:ind w:left="360"/>
        <w:rPr>
          <w:rFonts w:eastAsia="Times New Roman"/>
          <w:color w:val="222222"/>
        </w:rPr>
      </w:pPr>
      <w:r w:rsidRPr="005B3747">
        <w:rPr>
          <w:rFonts w:eastAsia="Times New Roman"/>
          <w:color w:val="222222"/>
        </w:rPr>
        <w:t>The FS needs to explain why they are prioritizing this plan amendment that makes it easier to log and remove large trees, but not considering numerous plan amendments where significant new science indicates a need for greater conservation, suc</w:t>
      </w:r>
      <w:r>
        <w:rPr>
          <w:rFonts w:eastAsia="Times New Roman"/>
          <w:color w:val="222222"/>
        </w:rPr>
        <w:t>h as:</w:t>
      </w:r>
    </w:p>
    <w:p w:rsidR="006647DA" w:rsidRPr="005B3747" w:rsidRDefault="006647DA" w:rsidP="006647DA">
      <w:pPr>
        <w:ind w:left="360"/>
        <w:rPr>
          <w:rFonts w:eastAsia="Times New Roman"/>
          <w:color w:val="222222"/>
        </w:rPr>
      </w:pPr>
      <w:r>
        <w:rPr>
          <w:rFonts w:eastAsia="Times New Roman"/>
          <w:color w:val="222222"/>
        </w:rPr>
        <w:t> </w:t>
      </w:r>
    </w:p>
    <w:p w:rsidR="006647DA" w:rsidRPr="007F02FF" w:rsidRDefault="006647DA" w:rsidP="006647DA">
      <w:pPr>
        <w:pStyle w:val="Subtitle"/>
        <w:ind w:left="720"/>
        <w:rPr>
          <w:b/>
        </w:rPr>
      </w:pPr>
      <w:bookmarkStart w:id="46" w:name="_Toc40443502"/>
      <w:r w:rsidRPr="007F02FF">
        <w:rPr>
          <w:b/>
        </w:rPr>
        <w:t xml:space="preserve">A plan amendment is needed to manage the forest for significantly more snags and </w:t>
      </w:r>
      <w:r w:rsidRPr="007F02FF">
        <w:rPr>
          <w:b/>
          <w:szCs w:val="20"/>
        </w:rPr>
        <w:t>dead wood, and retain significantly more green trees for future recruitment over the</w:t>
      </w:r>
      <w:r w:rsidRPr="007F02FF">
        <w:rPr>
          <w:b/>
        </w:rPr>
        <w:t xml:space="preserve"> life of the stand.</w:t>
      </w:r>
      <w:bookmarkEnd w:id="46"/>
      <w:r w:rsidRPr="007F02FF">
        <w:rPr>
          <w:b/>
        </w:rPr>
        <w:t> </w:t>
      </w:r>
    </w:p>
    <w:p w:rsidR="006647DA" w:rsidRPr="005B3747" w:rsidRDefault="006647DA" w:rsidP="006647DA">
      <w:pPr>
        <w:spacing w:before="100" w:beforeAutospacing="1" w:after="100" w:afterAutospacing="1" w:line="240" w:lineRule="auto"/>
        <w:ind w:left="360"/>
        <w:rPr>
          <w:rFonts w:eastAsia="Times New Roman"/>
          <w:color w:val="222222"/>
        </w:rPr>
      </w:pPr>
      <w:r w:rsidRPr="005B3747">
        <w:rPr>
          <w:rFonts w:eastAsia="Times New Roman"/>
          <w:color w:val="222222"/>
        </w:rPr>
        <w:t xml:space="preserve">See </w:t>
      </w:r>
      <w:r>
        <w:rPr>
          <w:rFonts w:eastAsia="Times New Roman"/>
          <w:color w:val="222222"/>
        </w:rPr>
        <w:t xml:space="preserve">detailed discussion throughout these comments, e.g., </w:t>
      </w:r>
      <w:r w:rsidRPr="005B3747">
        <w:rPr>
          <w:rFonts w:eastAsia="Times New Roman"/>
          <w:color w:val="222222"/>
        </w:rPr>
        <w:t xml:space="preserve">Rose, C.L., Marcot, B.G., Mellen, T.K., Ohmann, J.L., Waddell, K.L., Lindely, D.L., and B. Schrieber. 2001. Decaying Wood </w:t>
      </w:r>
      <w:r w:rsidRPr="005B3747">
        <w:rPr>
          <w:rFonts w:eastAsia="Times New Roman"/>
          <w:color w:val="222222"/>
        </w:rPr>
        <w:lastRenderedPageBreak/>
        <w:t xml:space="preserve">in Pacific Northwest Forests: Concepts and Tools for Habitat Management, Chapter 24 in Wildlife-Habitat Relationships in Oregon and Washington (Johnson, D. H. and T. A. O'Neil. OSU Press. 2001) </w:t>
      </w:r>
      <w:hyperlink r:id="rId263" w:history="1">
        <w:r w:rsidRPr="00A11A22">
          <w:rPr>
            <w:rStyle w:val="Hyperlink"/>
            <w:rFonts w:eastAsia="Times New Roman"/>
          </w:rPr>
          <w:t>http://web.archive.org/web/20060708035905/http://www.nwhi.org/inc/data/GISdata/docs/chapter24.pdf</w:t>
        </w:r>
      </w:hyperlink>
      <w:r>
        <w:rPr>
          <w:rFonts w:eastAsia="Times New Roman"/>
          <w:color w:val="222222"/>
        </w:rPr>
        <w:t xml:space="preserve">. </w:t>
      </w:r>
      <w:r w:rsidRPr="005B3747">
        <w:rPr>
          <w:rFonts w:eastAsia="Times New Roman"/>
          <w:color w:val="222222"/>
        </w:rPr>
        <w:t> </w:t>
      </w:r>
    </w:p>
    <w:p w:rsidR="006647DA" w:rsidRPr="007F02FF" w:rsidRDefault="006647DA" w:rsidP="006647DA">
      <w:pPr>
        <w:pStyle w:val="Subtitle"/>
        <w:ind w:left="720"/>
        <w:rPr>
          <w:b/>
          <w:szCs w:val="20"/>
        </w:rPr>
      </w:pPr>
      <w:bookmarkStart w:id="47" w:name="_Toc40443503"/>
      <w:r w:rsidRPr="007F02FF">
        <w:rPr>
          <w:b/>
        </w:rPr>
        <w:t xml:space="preserve">A plan amendment is needed to manage the forest for carbon storage to mitigate </w:t>
      </w:r>
      <w:r w:rsidRPr="007F02FF">
        <w:rPr>
          <w:b/>
          <w:szCs w:val="20"/>
        </w:rPr>
        <w:t>climate change.</w:t>
      </w:r>
      <w:bookmarkEnd w:id="47"/>
      <w:r w:rsidRPr="007F02FF">
        <w:rPr>
          <w:b/>
          <w:szCs w:val="20"/>
        </w:rPr>
        <w:t xml:space="preserve">  </w:t>
      </w:r>
    </w:p>
    <w:p w:rsidR="006647DA" w:rsidRDefault="006647DA" w:rsidP="006647DA">
      <w:pPr>
        <w:spacing w:line="240" w:lineRule="auto"/>
        <w:ind w:left="360"/>
        <w:rPr>
          <w:rFonts w:eastAsia="Times New Roman"/>
          <w:color w:val="222222"/>
        </w:rPr>
      </w:pPr>
      <w:r w:rsidRPr="005B3747">
        <w:rPr>
          <w:rFonts w:eastAsia="Times New Roman"/>
          <w:color w:val="222222"/>
        </w:rPr>
        <w:t xml:space="preserve">On June 25, 2013, President Obama released his Climate Action Plan which includes forest conservation among the “first pillar” of efforts to reduce emissions, saying: “Preserving the Role of Forests in Mitigating Climate Change: America’s forests play a critical role in addressing carbon pollution, removing nearly 12 percent of total U.S. greenhouse gas emissions each year. … Conservation and sustainable management can help to ensure our forests continue to remove carbon from the atmosphere … ” U.S. </w:t>
      </w:r>
      <w:proofErr w:type="spellStart"/>
      <w:r w:rsidRPr="005B3747">
        <w:rPr>
          <w:rFonts w:eastAsia="Times New Roman"/>
          <w:color w:val="222222"/>
        </w:rPr>
        <w:t>Dept</w:t>
      </w:r>
      <w:proofErr w:type="spellEnd"/>
      <w:r w:rsidRPr="005B3747">
        <w:rPr>
          <w:rFonts w:eastAsia="Times New Roman"/>
          <w:color w:val="222222"/>
        </w:rPr>
        <w:t xml:space="preserve"> of State 2013. draft 6</w:t>
      </w:r>
      <w:r w:rsidRPr="005B3747">
        <w:rPr>
          <w:rFonts w:eastAsia="Times New Roman"/>
          <w:color w:val="222222"/>
          <w:vertAlign w:val="superscript"/>
        </w:rPr>
        <w:t>th</w:t>
      </w:r>
      <w:r w:rsidRPr="005B3747">
        <w:rPr>
          <w:rFonts w:eastAsia="Times New Roman"/>
          <w:color w:val="222222"/>
        </w:rPr>
        <w:t xml:space="preserve"> Climate Action Report - U.S. </w:t>
      </w:r>
      <w:r>
        <w:rPr>
          <w:rFonts w:eastAsia="Times New Roman"/>
          <w:color w:val="222222"/>
        </w:rPr>
        <w:t>Biennial Report - H</w:t>
      </w:r>
      <w:r w:rsidRPr="005B3747">
        <w:rPr>
          <w:rFonts w:eastAsia="Times New Roman"/>
          <w:color w:val="222222"/>
        </w:rPr>
        <w:t>ighlights.</w:t>
      </w:r>
      <w:r>
        <w:rPr>
          <w:rFonts w:eastAsia="Times New Roman"/>
          <w:color w:val="222222"/>
        </w:rPr>
        <w:t xml:space="preserve"> </w:t>
      </w:r>
      <w:hyperlink r:id="rId264" w:history="1">
        <w:r w:rsidRPr="005B3747">
          <w:rPr>
            <w:rFonts w:eastAsia="Times New Roman"/>
            <w:color w:val="1155CC"/>
            <w:u w:val="single"/>
          </w:rPr>
          <w:t>http://www.state.gov/documents/organization/214979.pdf</w:t>
        </w:r>
      </w:hyperlink>
      <w:r w:rsidRPr="005B3747">
        <w:rPr>
          <w:rFonts w:eastAsia="Times New Roman"/>
          <w:color w:val="222222"/>
        </w:rPr>
        <w:t>; </w:t>
      </w:r>
      <w:hyperlink r:id="rId265" w:history="1">
        <w:r w:rsidRPr="005B3747">
          <w:rPr>
            <w:rFonts w:eastAsia="Times New Roman"/>
            <w:color w:val="1155CC"/>
            <w:u w:val="single"/>
          </w:rPr>
          <w:t>http://www.whitehouse.gov/sites/default/files/image/president27sclimateactionplan.pdf</w:t>
        </w:r>
      </w:hyperlink>
      <w:r w:rsidRPr="005B3747">
        <w:rPr>
          <w:rFonts w:eastAsia="Times New Roman"/>
          <w:color w:val="222222"/>
        </w:rPr>
        <w:t> “[A]dvancing efforts to protect our forests” is also mentioned in the 6</w:t>
      </w:r>
      <w:r w:rsidRPr="005B3747">
        <w:rPr>
          <w:rFonts w:eastAsia="Times New Roman"/>
          <w:color w:val="222222"/>
          <w:vertAlign w:val="superscript"/>
        </w:rPr>
        <w:t>th</w:t>
      </w:r>
      <w:r w:rsidRPr="005B3747">
        <w:rPr>
          <w:rFonts w:eastAsia="Times New Roman"/>
          <w:color w:val="222222"/>
        </w:rPr>
        <w:t> U.S. Climate Action Report under the United Nations Framework Convention on Climate Change (UNFCCC). According to the US Department of Energy "Enhancing the natural processes that remove CO2 from the atmosphere is thought to be the most cost-effective means of reducing atmospheric levels of CO2. … R&amp;D in this program area seeks to increase this rate while properly considering all the ecological, social, and economic implications. There are two fundamental approaches to sequestering carbon in terrestrial ecosystems: (1) protection of ecosystems that store carbon so that carbon stores can be maintained or increased; and (2) manipulation of ecosystems to increase carbon sequestrat</w:t>
      </w:r>
      <w:r>
        <w:rPr>
          <w:rFonts w:eastAsia="Times New Roman"/>
          <w:color w:val="222222"/>
        </w:rPr>
        <w:t xml:space="preserve">ion beyond current conditions." </w:t>
      </w:r>
      <w:hyperlink r:id="rId266" w:history="1">
        <w:r w:rsidRPr="005B3747">
          <w:rPr>
            <w:rFonts w:eastAsia="Times New Roman"/>
            <w:color w:val="1155CC"/>
            <w:u w:val="single"/>
          </w:rPr>
          <w:t>https://web.archive.org/web/20090401175835/http://www.fossil.energy.gov/programs/sequestration/terrestrial/index.html</w:t>
        </w:r>
      </w:hyperlink>
      <w:r>
        <w:rPr>
          <w:rFonts w:eastAsia="Times New Roman"/>
          <w:color w:val="222222"/>
        </w:rPr>
        <w:t>.</w:t>
      </w:r>
    </w:p>
    <w:p w:rsidR="006647DA" w:rsidRPr="005B3747" w:rsidRDefault="006647DA" w:rsidP="006647DA">
      <w:pPr>
        <w:spacing w:line="240" w:lineRule="auto"/>
        <w:ind w:left="360"/>
        <w:rPr>
          <w:rFonts w:eastAsia="Times New Roman"/>
          <w:color w:val="222222"/>
        </w:rPr>
      </w:pPr>
    </w:p>
    <w:p w:rsidR="006647DA" w:rsidRPr="007F02FF" w:rsidRDefault="006647DA" w:rsidP="006647DA">
      <w:pPr>
        <w:pStyle w:val="Subtitle"/>
        <w:ind w:left="720"/>
        <w:rPr>
          <w:b/>
          <w:szCs w:val="20"/>
        </w:rPr>
      </w:pPr>
      <w:bookmarkStart w:id="48" w:name="_Toc40443504"/>
      <w:r w:rsidRPr="007F02FF">
        <w:rPr>
          <w:b/>
        </w:rPr>
        <w:t>A plan amendment is need to reform fire policy.</w:t>
      </w:r>
      <w:bookmarkEnd w:id="48"/>
    </w:p>
    <w:p w:rsidR="006647DA" w:rsidRDefault="006647DA" w:rsidP="006647DA">
      <w:pPr>
        <w:ind w:left="360"/>
      </w:pPr>
      <w:r>
        <w:t xml:space="preserve">The is an extensive body of scientific literature showing that historic and current fire suppression practices are outdated. Fire can play a significant beneficial role in meeting the objectives of this proposal plan amendment including killing trees with low hanging branches such as white-fir, thinning the forest to reduce drought stress and increase resilience, making room for regeneration of shade-intolerant species, enhancing landscape heterogeneity and biodiversity in all its dimensions, etc. </w:t>
      </w:r>
    </w:p>
    <w:p w:rsidR="006647DA" w:rsidRPr="0099114D" w:rsidRDefault="006647DA" w:rsidP="006647DA">
      <w:pPr>
        <w:ind w:left="360"/>
      </w:pPr>
    </w:p>
    <w:p w:rsidR="006647DA" w:rsidRPr="007F02FF" w:rsidRDefault="006647DA" w:rsidP="006647DA">
      <w:pPr>
        <w:pStyle w:val="Subtitle"/>
        <w:ind w:left="720"/>
        <w:rPr>
          <w:b/>
          <w:szCs w:val="20"/>
        </w:rPr>
      </w:pPr>
      <w:bookmarkStart w:id="49" w:name="_Toc40443505"/>
      <w:r w:rsidRPr="007F02FF">
        <w:rPr>
          <w:b/>
        </w:rPr>
        <w:t xml:space="preserve">A plan amendment is needed to conserve rare complex early seral habitat from </w:t>
      </w:r>
      <w:r w:rsidRPr="007F02FF">
        <w:rPr>
          <w:b/>
          <w:szCs w:val="20"/>
        </w:rPr>
        <w:t>salvage logging.</w:t>
      </w:r>
      <w:bookmarkEnd w:id="49"/>
      <w:r w:rsidRPr="007F02FF">
        <w:rPr>
          <w:b/>
          <w:szCs w:val="20"/>
        </w:rPr>
        <w:t xml:space="preserve"> </w:t>
      </w:r>
    </w:p>
    <w:p w:rsidR="006647DA" w:rsidRDefault="006647DA" w:rsidP="006647DA">
      <w:pPr>
        <w:spacing w:after="100" w:afterAutospacing="1" w:line="240" w:lineRule="auto"/>
        <w:ind w:left="360"/>
        <w:rPr>
          <w:rFonts w:eastAsia="Times New Roman"/>
          <w:color w:val="222222"/>
        </w:rPr>
      </w:pPr>
      <w:r w:rsidRPr="005B3747">
        <w:rPr>
          <w:rFonts w:eastAsia="Times New Roman"/>
          <w:color w:val="222222"/>
        </w:rPr>
        <w:t>See Della Sala, D. et al (2013) Open Letter to Members of Congress from 250 Scientists Concerned about Post-fire Logging. October 30, 2013. </w:t>
      </w:r>
      <w:hyperlink r:id="rId267" w:history="1">
        <w:r w:rsidRPr="005B3747">
          <w:rPr>
            <w:rFonts w:eastAsia="Times New Roman"/>
            <w:color w:val="1155CC"/>
            <w:u w:val="single"/>
          </w:rPr>
          <w:t>http://geosinstitute.org/images/stories/pdfs/Publications/Fire/Scientist_Letter_Postfire_2013.pdf</w:t>
        </w:r>
      </w:hyperlink>
      <w:r w:rsidRPr="005B3747">
        <w:rPr>
          <w:rFonts w:eastAsia="Times New Roman"/>
          <w:color w:val="222222"/>
        </w:rPr>
        <w:t> or </w:t>
      </w:r>
      <w:hyperlink r:id="rId268" w:history="1">
        <w:r w:rsidRPr="005B3747">
          <w:rPr>
            <w:rFonts w:eastAsia="Times New Roman"/>
            <w:color w:val="1155CC"/>
            <w:u w:val="single"/>
          </w:rPr>
          <w:t>http://www.scribd.com/doc/181401520/Open-Letter-to-Members-of-Congress-from-250-Scientists-Concerned-about-Post-fire-Logging-October-30-2013</w:t>
        </w:r>
      </w:hyperlink>
      <w:r w:rsidRPr="005B3747">
        <w:rPr>
          <w:rFonts w:eastAsia="Times New Roman"/>
          <w:color w:val="222222"/>
        </w:rPr>
        <w:t xml:space="preserve">; “Conservation of diverse young forests has received little attention in forest policy.” USDA PNW Research </w:t>
      </w:r>
      <w:r w:rsidRPr="005B3747">
        <w:rPr>
          <w:rFonts w:eastAsia="Times New Roman"/>
          <w:color w:val="222222"/>
        </w:rPr>
        <w:lastRenderedPageBreak/>
        <w:t>Station. </w:t>
      </w:r>
      <w:r w:rsidRPr="005B3747">
        <w:rPr>
          <w:rFonts w:eastAsia="Times New Roman"/>
          <w:i/>
          <w:iCs/>
          <w:color w:val="222222"/>
        </w:rPr>
        <w:t>Science Findings #56 - Seeing The Trees For The Forest: Mapping Vegetation Biodiversity In Coastal Oregon Forests.</w:t>
      </w:r>
      <w:r w:rsidRPr="005B3747">
        <w:rPr>
          <w:rFonts w:eastAsia="Times New Roman"/>
          <w:color w:val="222222"/>
        </w:rPr>
        <w:t> Sept 2003. </w:t>
      </w:r>
      <w:hyperlink r:id="rId269" w:history="1">
        <w:r w:rsidRPr="005B3747">
          <w:rPr>
            <w:rFonts w:eastAsia="Times New Roman"/>
            <w:color w:val="1155CC"/>
            <w:u w:val="single"/>
          </w:rPr>
          <w:t>http://www.fs.fed.us/pnw/sciencef/scifi56.pdf</w:t>
        </w:r>
      </w:hyperlink>
      <w:r w:rsidRPr="005B3747">
        <w:rPr>
          <w:rFonts w:eastAsia="Times New Roman"/>
          <w:color w:val="222222"/>
        </w:rPr>
        <w:t>. “[T]here's a looming shortage of diverse young forests - where seedlings intermingle with fallen logs, standing dead snags, and shrubs - that provide specialized habitat for certain animals and plants. … there's a looming gap in diverse, young, early-successional conifer forest, the type of forest that once came in naturally after forest fires. These young forests, up to 10 years old, have a diversity of forest structures - fallen logs and dead snags - and a diversity of plant life. They are important habitat for the western bluebird and other birds that prefer open areas, as well as some shrub species. Today, because of intense timber management on private lands, young forests don't get the chance to develop much diversity.” OSU. 2001. Press Release: Researchers Assess Forest Sustainability. </w:t>
      </w:r>
      <w:hyperlink r:id="rId270" w:history="1">
        <w:r w:rsidRPr="005B3747">
          <w:rPr>
            <w:rFonts w:eastAsia="Times New Roman"/>
            <w:color w:val="1155CC"/>
            <w:u w:val="single"/>
          </w:rPr>
          <w:t>http://web.archive.org/web/20060914032259/http://oregonstate.edu/dept/ncs/newsarch/2001/Oct01/assess.htm</w:t>
        </w:r>
      </w:hyperlink>
      <w:r>
        <w:rPr>
          <w:rFonts w:eastAsia="Times New Roman"/>
          <w:color w:val="1155CC"/>
          <w:u w:val="single"/>
        </w:rPr>
        <w:t>.</w:t>
      </w:r>
      <w:r w:rsidRPr="005B3747">
        <w:rPr>
          <w:rFonts w:eastAsia="Times New Roman"/>
          <w:color w:val="222222"/>
        </w:rPr>
        <w:t> </w:t>
      </w:r>
    </w:p>
    <w:p w:rsidR="006647DA" w:rsidRPr="007F02FF" w:rsidRDefault="006647DA" w:rsidP="006647DA">
      <w:pPr>
        <w:pStyle w:val="Subtitle"/>
        <w:ind w:left="720"/>
        <w:rPr>
          <w:b/>
        </w:rPr>
      </w:pPr>
      <w:bookmarkStart w:id="50" w:name="_Toc40443506"/>
      <w:r w:rsidRPr="007F02FF">
        <w:rPr>
          <w:b/>
        </w:rPr>
        <w:t>A plan amendment is needed to conserve old trees regardless of size.</w:t>
      </w:r>
      <w:bookmarkEnd w:id="50"/>
      <w:r w:rsidRPr="007F02FF">
        <w:rPr>
          <w:b/>
        </w:rPr>
        <w:t xml:space="preserve"> </w:t>
      </w:r>
    </w:p>
    <w:p w:rsidR="006647DA" w:rsidRPr="00237AE7" w:rsidRDefault="006647DA" w:rsidP="006647DA">
      <w:pPr>
        <w:tabs>
          <w:tab w:val="left" w:pos="7830"/>
        </w:tabs>
        <w:spacing w:after="100" w:afterAutospacing="1" w:line="240" w:lineRule="auto"/>
        <w:ind w:left="360"/>
      </w:pPr>
      <w:r w:rsidRPr="00237AE7">
        <w:rPr>
          <w:rFonts w:eastAsia="Times New Roman"/>
          <w:color w:val="222222"/>
        </w:rPr>
        <w:t>Many trees are ecologically valuable and deserving of conservation even if they are not larger than 21” dbh.</w:t>
      </w:r>
      <w:r w:rsidRPr="00237AE7">
        <w:rPr>
          <w:rFonts w:eastAsia="Times New Roman"/>
          <w:b/>
          <w:color w:val="222222"/>
        </w:rPr>
        <w:t xml:space="preserve"> </w:t>
      </w:r>
      <w:r>
        <w:t>E</w:t>
      </w:r>
      <w:r w:rsidRPr="00237AE7">
        <w:t>specially here where growing condit</w:t>
      </w:r>
      <w:r>
        <w:t>ions are not highly favorable, t</w:t>
      </w:r>
      <w:r w:rsidRPr="00237AE7">
        <w:t xml:space="preserve">rees less than 21 inches dbh can be old and valuable for the forest ecosystem. We urge the agency to </w:t>
      </w:r>
      <w:r>
        <w:t xml:space="preserve">adopt a plan amendment to </w:t>
      </w:r>
      <w:r w:rsidRPr="00237AE7">
        <w:t xml:space="preserve">protect trees with “old-growth morphology” regardless of size. (e.g. Yellow-barked ponderosa pine or any species with large drooping limbs, twisted trunks or flattened tops.) Science indicates that slow-growing small old trees tend to be resilient and add to the diversity and resilience of forests. Black, </w:t>
      </w:r>
      <w:proofErr w:type="spellStart"/>
      <w:r w:rsidRPr="00237AE7">
        <w:t>Colber</w:t>
      </w:r>
      <w:proofErr w:type="spellEnd"/>
      <w:r w:rsidRPr="00237AE7">
        <w:t xml:space="preserve">, and Pederson. 2008. Relationship between radial growth rates and lifespan within North American tree species. </w:t>
      </w:r>
      <w:proofErr w:type="spellStart"/>
      <w:r w:rsidRPr="00237AE7">
        <w:t>Ecoscience</w:t>
      </w:r>
      <w:proofErr w:type="spellEnd"/>
      <w:r w:rsidRPr="00237AE7">
        <w:t xml:space="preserve"> 15(3), 349-357 (2008). </w:t>
      </w:r>
      <w:hyperlink r:id="rId271" w:history="1">
        <w:r w:rsidRPr="00237AE7">
          <w:rPr>
            <w:rStyle w:val="Hyperlink"/>
          </w:rPr>
          <w:t>http://fate.nmfs.noaa.gov/documents/Publications/Black_et_al_2008_Ecoscience.pdf</w:t>
        </w:r>
      </w:hyperlink>
      <w:r w:rsidRPr="00237AE7">
        <w:t xml:space="preserve"> (See also Tobias </w:t>
      </w:r>
      <w:proofErr w:type="spellStart"/>
      <w:r w:rsidRPr="00237AE7">
        <w:t>Züst</w:t>
      </w:r>
      <w:proofErr w:type="spellEnd"/>
      <w:r w:rsidRPr="00237AE7">
        <w:t xml:space="preserve">, </w:t>
      </w:r>
      <w:proofErr w:type="spellStart"/>
      <w:r w:rsidRPr="00237AE7">
        <w:t>Bindu</w:t>
      </w:r>
      <w:proofErr w:type="spellEnd"/>
      <w:r w:rsidRPr="00237AE7">
        <w:t xml:space="preserve"> Joseph, </w:t>
      </w:r>
      <w:proofErr w:type="spellStart"/>
      <w:r w:rsidRPr="00237AE7">
        <w:t>Kentaro</w:t>
      </w:r>
      <w:proofErr w:type="spellEnd"/>
      <w:r w:rsidRPr="00237AE7">
        <w:t xml:space="preserve"> K. Shimizu, Daniel J. </w:t>
      </w:r>
      <w:proofErr w:type="spellStart"/>
      <w:r w:rsidRPr="00237AE7">
        <w:t>Kliebenstein</w:t>
      </w:r>
      <w:proofErr w:type="spellEnd"/>
      <w:r w:rsidRPr="00237AE7">
        <w:t xml:space="preserve"> and Lindsay A. Turnbull, Using knockout mutants to reveal the growth costs of defensive traits, in: </w:t>
      </w:r>
      <w:r w:rsidRPr="00237AE7">
        <w:rPr>
          <w:i/>
          <w:iCs/>
        </w:rPr>
        <w:t>Proceedings of the Royal Society B,</w:t>
      </w:r>
      <w:r w:rsidRPr="00237AE7">
        <w:t xml:space="preserve"> 2011, Jan. 26, doi:10.1098/rspb.2010.2475. </w:t>
      </w:r>
    </w:p>
    <w:p w:rsidR="006647DA" w:rsidRDefault="006647DA" w:rsidP="006647DA">
      <w:pPr>
        <w:pStyle w:val="CommentText"/>
        <w:tabs>
          <w:tab w:val="left" w:pos="7830"/>
        </w:tabs>
        <w:ind w:left="360"/>
        <w:rPr>
          <w:sz w:val="24"/>
          <w:szCs w:val="24"/>
        </w:rPr>
      </w:pPr>
      <w:r>
        <w:rPr>
          <w:sz w:val="24"/>
          <w:szCs w:val="24"/>
        </w:rPr>
        <w:t>Franklin &amp; Johnson (2013) explain why it is important to conserve small old trees:</w:t>
      </w:r>
    </w:p>
    <w:p w:rsidR="006647DA" w:rsidRPr="00F3188D" w:rsidRDefault="006647DA" w:rsidP="006647DA">
      <w:pPr>
        <w:pStyle w:val="CommentText"/>
        <w:tabs>
          <w:tab w:val="left" w:pos="7830"/>
        </w:tabs>
        <w:ind w:left="1080"/>
        <w:rPr>
          <w:rFonts w:ascii="Times New Roman" w:hAnsi="Times New Roman" w:cs="Times New Roman"/>
          <w:b/>
          <w:sz w:val="24"/>
          <w:szCs w:val="24"/>
          <w:lang w:eastAsia="en-US"/>
        </w:rPr>
      </w:pPr>
      <w:r w:rsidRPr="00F3188D">
        <w:rPr>
          <w:rFonts w:ascii="Times New Roman" w:hAnsi="Times New Roman" w:cs="Times New Roman"/>
          <w:b/>
          <w:sz w:val="24"/>
          <w:szCs w:val="24"/>
          <w:lang w:eastAsia="en-US"/>
        </w:rPr>
        <w:t>Box 8: Removal of Small Old Ponderosa Pine Trees in Dry Forest Restoration Projects</w:t>
      </w: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xml:space="preserve">Removal of small (&lt;21" dbh), older (&gt;150 </w:t>
      </w:r>
      <w:proofErr w:type="spellStart"/>
      <w:r w:rsidRPr="00F3188D">
        <w:rPr>
          <w:rFonts w:ascii="Times New Roman" w:hAnsi="Times New Roman" w:cs="Times New Roman"/>
          <w:sz w:val="24"/>
          <w:szCs w:val="24"/>
          <w:lang w:eastAsia="en-US"/>
        </w:rPr>
        <w:t>yr</w:t>
      </w:r>
      <w:proofErr w:type="spellEnd"/>
      <w:r w:rsidRPr="00F3188D">
        <w:rPr>
          <w:rFonts w:ascii="Times New Roman" w:hAnsi="Times New Roman" w:cs="Times New Roman"/>
          <w:sz w:val="24"/>
          <w:szCs w:val="24"/>
          <w:lang w:eastAsia="en-US"/>
        </w:rPr>
        <w:t>) ponderosa pine trees is sometimes proposed as a part of Dry Forest restoration projects. These older trees are important ecological components of Dry Forests, despite their smaller size, which is why we recommend their retention along with larger old trees. Ponderosa pine &gt;150 years include older mature pines (150 to 200 years) that are beginning to develop old-growth attributes and will become fully developed old-growth trees after about 200 years.</w:t>
      </w: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Small old trees fulfill many of the functions that larger old trees provide. These trees have:</w:t>
      </w: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lastRenderedPageBreak/>
        <w:t>1. A significant percentage of heartwood, which exhibits different patterns of decay than sapwood (in live trees, snags, and logs). Young ponderosa pine have relatively little and poorly developed heartwood. Snags from old trees persist for a longer time than snags from younger trees of comparable (or even larger) diameter, and</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down wood (either bole or branches) decays differently than that of young trees.</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2. Distinctive complex crowns and large branches that differ from those found on younger pines and that often have developed various defects (e.g., forks, brooms, and cavities) not present in younger ponderosa pine.</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3. Greater value for wildlife than young trees of comparable or even larger diameter as a consequence of the preceding points – complex and distinctive crowns and significant heartwood content, which is reflected in quality wildlife habitat in both living and dead trees.</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xml:space="preserve">4. Bark that is thicker and fire resistant relative to the tree’s diameter, making the trees more resistant to fire than younger trees of comparable diameter. Since these smaller old trees exhibit many of the attributes of larger old trees, albeit it on a smaller scale, their retention is part of ecologically-focused restoration treatments. </w:t>
      </w:r>
    </w:p>
    <w:p w:rsidR="006647DA" w:rsidRDefault="006647DA" w:rsidP="006647DA">
      <w:pPr>
        <w:pStyle w:val="CommentText"/>
        <w:tabs>
          <w:tab w:val="left" w:pos="7830"/>
        </w:tabs>
        <w:ind w:left="108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xml:space="preserve">When clusters of old ponderosa pine trees that include small old trees are encountered, </w:t>
      </w:r>
      <w:proofErr w:type="spellStart"/>
      <w:r w:rsidRPr="00F3188D">
        <w:rPr>
          <w:rFonts w:ascii="Times New Roman" w:hAnsi="Times New Roman" w:cs="Times New Roman"/>
          <w:sz w:val="24"/>
          <w:szCs w:val="24"/>
          <w:lang w:eastAsia="en-US"/>
        </w:rPr>
        <w:t>silviculturists</w:t>
      </w:r>
      <w:proofErr w:type="spellEnd"/>
      <w:r w:rsidRPr="00F3188D">
        <w:rPr>
          <w:rFonts w:ascii="Times New Roman" w:hAnsi="Times New Roman" w:cs="Times New Roman"/>
          <w:sz w:val="24"/>
          <w:szCs w:val="24"/>
          <w:lang w:eastAsia="en-US"/>
        </w:rPr>
        <w:t xml:space="preserve"> sometimes assume that significant competition must be taking place within these clusters, particularly if they observe mortality of individual trees. This inference of significant competition is unwarranted, however, and may reflect the </w:t>
      </w:r>
      <w:proofErr w:type="spellStart"/>
      <w:r w:rsidRPr="00F3188D">
        <w:rPr>
          <w:rFonts w:ascii="Times New Roman" w:hAnsi="Times New Roman" w:cs="Times New Roman"/>
          <w:sz w:val="24"/>
          <w:szCs w:val="24"/>
          <w:lang w:eastAsia="en-US"/>
        </w:rPr>
        <w:t>silviculturist’s</w:t>
      </w:r>
      <w:proofErr w:type="spellEnd"/>
      <w:r w:rsidRPr="00F3188D">
        <w:rPr>
          <w:rFonts w:ascii="Times New Roman" w:hAnsi="Times New Roman" w:cs="Times New Roman"/>
          <w:sz w:val="24"/>
          <w:szCs w:val="24"/>
          <w:lang w:eastAsia="en-US"/>
        </w:rPr>
        <w:t xml:space="preserve"> projection of the competitive processes of tightly spaced young trees.</w:t>
      </w:r>
      <w:r>
        <w:rPr>
          <w:rFonts w:ascii="Times New Roman" w:hAnsi="Times New Roman" w:cs="Times New Roman"/>
          <w:sz w:val="24"/>
          <w:szCs w:val="24"/>
          <w:lang w:eastAsia="en-US"/>
        </w:rPr>
        <w:t xml:space="preserve"> </w:t>
      </w:r>
      <w:r w:rsidRPr="00F3188D">
        <w:rPr>
          <w:rFonts w:ascii="Times New Roman" w:hAnsi="Times New Roman" w:cs="Times New Roman"/>
          <w:sz w:val="24"/>
          <w:szCs w:val="24"/>
          <w:lang w:eastAsia="en-US"/>
        </w:rPr>
        <w:t>The old trees in these clusters have not only survived that period of  youthful competition but almost certainly have established mutual relationships with each other, such as significant root grafting and shared mycorrhizal masses. Thus, these clusters of old trees are more likely to be mutually supportive than competitive.</w:t>
      </w: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r w:rsidRPr="00F3188D">
        <w:rPr>
          <w:rFonts w:ascii="Times New Roman" w:hAnsi="Times New Roman" w:cs="Times New Roman"/>
          <w:sz w:val="24"/>
          <w:szCs w:val="24"/>
          <w:lang w:eastAsia="en-US"/>
        </w:rPr>
        <w:t>Nevertheless, proposals for removal of removal of small older pine trees will arise and the following points should be considered:</w:t>
      </w: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xml:space="preserve">1. An ecological justification for the removal of small (&lt;21" dbh), old (&gt;150 </w:t>
      </w:r>
      <w:proofErr w:type="spellStart"/>
      <w:r w:rsidRPr="00F3188D">
        <w:rPr>
          <w:rFonts w:ascii="Times New Roman" w:hAnsi="Times New Roman" w:cs="Times New Roman"/>
          <w:sz w:val="24"/>
          <w:szCs w:val="24"/>
          <w:lang w:eastAsia="en-US"/>
        </w:rPr>
        <w:t>yr</w:t>
      </w:r>
      <w:proofErr w:type="spellEnd"/>
      <w:r w:rsidRPr="00F3188D">
        <w:rPr>
          <w:rFonts w:ascii="Times New Roman" w:hAnsi="Times New Roman" w:cs="Times New Roman"/>
          <w:sz w:val="24"/>
          <w:szCs w:val="24"/>
          <w:lang w:eastAsia="en-US"/>
        </w:rPr>
        <w:t>) ponderosa pine trees has not been established.</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2. Proposals for removal of small old ponderosa pine trees would need to be based on economic necessity—that removal of some or all of these trees is necessary to create an economically viable or an economically more valuable restoration project.</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3. If a project is calculated to be non-viable economically, we recommend consideration of the following adjustments prior to planning removal of small old ponderosa pine trees:</w:t>
      </w:r>
    </w:p>
    <w:p w:rsidR="006647DA" w:rsidRPr="00F3188D" w:rsidRDefault="006647DA" w:rsidP="006647DA">
      <w:pPr>
        <w:pStyle w:val="CommentText"/>
        <w:tabs>
          <w:tab w:val="left" w:pos="7830"/>
        </w:tabs>
        <w:ind w:left="1800"/>
        <w:rPr>
          <w:rFonts w:ascii="Times New Roman" w:hAnsi="Times New Roman" w:cs="Times New Roman"/>
          <w:sz w:val="24"/>
          <w:szCs w:val="24"/>
          <w:lang w:eastAsia="en-US"/>
        </w:rPr>
      </w:pPr>
      <w:r w:rsidRPr="00F3188D">
        <w:rPr>
          <w:rFonts w:ascii="Times New Roman" w:hAnsi="Times New Roman" w:cs="Times New Roman"/>
          <w:sz w:val="24"/>
          <w:szCs w:val="24"/>
          <w:lang w:eastAsia="en-US"/>
        </w:rPr>
        <w:lastRenderedPageBreak/>
        <w:t>■ Adjustment of the boundaries of the project area so as to include additional areas that will generate larger volumes of wood during restoration;</w:t>
      </w:r>
    </w:p>
    <w:p w:rsidR="006647DA" w:rsidRPr="00F3188D" w:rsidRDefault="006647DA" w:rsidP="006647DA">
      <w:pPr>
        <w:pStyle w:val="CommentText"/>
        <w:tabs>
          <w:tab w:val="left" w:pos="7830"/>
        </w:tabs>
        <w:ind w:left="180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Increase in the amount of wood marked for removal in trees &lt;150 years even if this requires modification of target restored stand basal areas or trees/acre;</w:t>
      </w:r>
    </w:p>
    <w:p w:rsidR="006647DA" w:rsidRPr="00F3188D" w:rsidRDefault="006647DA" w:rsidP="006647DA">
      <w:pPr>
        <w:pStyle w:val="CommentText"/>
        <w:tabs>
          <w:tab w:val="left" w:pos="7830"/>
        </w:tabs>
        <w:ind w:left="180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Elimination of restoration activities included as costs in the calculation of sale economics that are not essential to accomplishing the stand-level restoration goal; and,</w:t>
      </w:r>
    </w:p>
    <w:p w:rsidR="006647DA" w:rsidRPr="00F3188D" w:rsidRDefault="006647DA" w:rsidP="006647DA">
      <w:pPr>
        <w:pStyle w:val="CommentText"/>
        <w:tabs>
          <w:tab w:val="left" w:pos="7830"/>
        </w:tabs>
        <w:ind w:left="180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Consider the potential for collaborators and partners to find funds.</w:t>
      </w:r>
    </w:p>
    <w:p w:rsidR="006647DA" w:rsidRPr="00F3188D" w:rsidRDefault="006647DA" w:rsidP="006647DA">
      <w:pPr>
        <w:pStyle w:val="CommentText"/>
        <w:tabs>
          <w:tab w:val="left" w:pos="7830"/>
        </w:tabs>
        <w:ind w:left="108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4. If the restoration project remains non-viable after making the above adjustments, consider the alternative of whether or not to remove some small older ponderosa pine trees, including an assessment of how many such trees would have to be removed in order to achieve economic viability.</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5. Calculation of economic viability should be based on the appraisal or other formal analysis that includes actual cruise or inventory data.</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 xml:space="preserve">6. If a decision is made to proceed with cutting sufficient small older ponderosa pine trees to achieve viability, select only a sufficient number of such trees to achieve the economic break-even point. </w:t>
      </w:r>
    </w:p>
    <w:p w:rsidR="006647DA" w:rsidRDefault="006647DA" w:rsidP="006647DA">
      <w:pPr>
        <w:pStyle w:val="CommentText"/>
        <w:tabs>
          <w:tab w:val="left" w:pos="7830"/>
        </w:tabs>
        <w:ind w:left="144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7. The older trees selected for removal should come from the mature (150 to 200 year) age class; removal of fully developed (&gt;200 year</w:t>
      </w:r>
      <w:r>
        <w:rPr>
          <w:rFonts w:ascii="Times New Roman" w:hAnsi="Times New Roman" w:cs="Times New Roman"/>
          <w:sz w:val="24"/>
          <w:szCs w:val="24"/>
          <w:lang w:eastAsia="en-US"/>
        </w:rPr>
        <w:t xml:space="preserve"> </w:t>
      </w:r>
      <w:r w:rsidRPr="00F3188D">
        <w:rPr>
          <w:rFonts w:ascii="Times New Roman" w:hAnsi="Times New Roman" w:cs="Times New Roman"/>
          <w:sz w:val="24"/>
          <w:szCs w:val="24"/>
          <w:lang w:eastAsia="en-US"/>
        </w:rPr>
        <w:t>old) ponderosa pine should be avoided.</w:t>
      </w: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p>
    <w:p w:rsidR="006647DA" w:rsidRPr="00F3188D" w:rsidRDefault="006647DA" w:rsidP="006647DA">
      <w:pPr>
        <w:pStyle w:val="CommentText"/>
        <w:tabs>
          <w:tab w:val="left" w:pos="7830"/>
        </w:tabs>
        <w:ind w:left="1440"/>
        <w:rPr>
          <w:rFonts w:ascii="Times New Roman" w:hAnsi="Times New Roman" w:cs="Times New Roman"/>
          <w:sz w:val="24"/>
          <w:szCs w:val="24"/>
          <w:lang w:eastAsia="en-US"/>
        </w:rPr>
      </w:pPr>
      <w:r w:rsidRPr="00F3188D">
        <w:rPr>
          <w:rFonts w:ascii="Times New Roman" w:hAnsi="Times New Roman" w:cs="Times New Roman"/>
          <w:sz w:val="24"/>
          <w:szCs w:val="24"/>
          <w:lang w:eastAsia="en-US"/>
        </w:rPr>
        <w:t>8. The decision process should be transparent, well documented to ensure that stakeholders and collaborative groups understand the basis for removing old trees.</w:t>
      </w:r>
    </w:p>
    <w:p w:rsidR="006647DA" w:rsidRPr="003E56C7" w:rsidRDefault="006647DA" w:rsidP="006647DA">
      <w:pPr>
        <w:pStyle w:val="NormalWeb"/>
        <w:spacing w:before="0" w:after="0"/>
        <w:ind w:left="360"/>
        <w:rPr>
          <w:rStyle w:val="Hyperlink"/>
          <w:rFonts w:ascii="Times New Roman" w:hAnsi="Times New Roman" w:cs="Times New Roman"/>
        </w:rPr>
      </w:pPr>
      <w:r w:rsidRPr="003E56C7">
        <w:rPr>
          <w:rFonts w:ascii="Times New Roman" w:hAnsi="Times New Roman" w:cs="Times New Roman"/>
        </w:rPr>
        <w:t xml:space="preserve">Franklin, J.F., Johnson, K.N., et al 2013. Restoration of Dry Forests in Eastern Oregon – A Field Guide. The Nature Conservancy, Portland, OR. 202 pp. </w:t>
      </w:r>
      <w:hyperlink r:id="rId272" w:history="1">
        <w:r w:rsidRPr="003E56C7">
          <w:rPr>
            <w:rStyle w:val="Hyperlink"/>
            <w:rFonts w:ascii="Times New Roman" w:hAnsi="Times New Roman" w:cs="Times New Roman"/>
          </w:rPr>
          <w:t>http://nature.ly/dryforests</w:t>
        </w:r>
      </w:hyperlink>
    </w:p>
    <w:p w:rsidR="006647DA" w:rsidRDefault="006647DA" w:rsidP="006647DA">
      <w:pPr>
        <w:pStyle w:val="NormalWeb"/>
        <w:spacing w:before="0" w:after="0"/>
        <w:ind w:left="360"/>
      </w:pPr>
    </w:p>
    <w:p w:rsidR="006647DA" w:rsidRDefault="006647DA" w:rsidP="006647DA">
      <w:pPr>
        <w:pStyle w:val="NormalWeb"/>
        <w:spacing w:before="0" w:after="0"/>
        <w:ind w:left="360"/>
      </w:pPr>
      <w:r>
        <w:t xml:space="preserve">See also, </w:t>
      </w:r>
      <w:r w:rsidRPr="0044354C">
        <w:t xml:space="preserve">University of Montana. June 18, 2019. Cell structure linked to longevity of slow-growing Ponderosa Pines. </w:t>
      </w:r>
      <w:hyperlink r:id="rId273" w:history="1">
        <w:r w:rsidRPr="0044354C">
          <w:rPr>
            <w:rStyle w:val="Hyperlink"/>
          </w:rPr>
          <w:t>https://www.sciencedaily.com/releases/2019/06/190618174358.htm</w:t>
        </w:r>
      </w:hyperlink>
      <w:r>
        <w:t xml:space="preserve"> </w:t>
      </w:r>
      <w:r w:rsidRPr="0044354C">
        <w:t>(“Slow-growing ponderosa pines may have a better chance of surviving longer than fast-growing ones, especially as climate change increases the frequency and intensity of drought, according to new research from the University of Montana. ... [A] key difference between fast and slow growers resides in a microscopic valve-like structure between the cells that transport water in the wood, called the pit membrane. The unique shape of this valve in slow-growing trees provides greater safety against drought, but it slows down water transport, limiting growth rate.”).</w:t>
      </w:r>
      <w:r>
        <w:t xml:space="preserve"> </w:t>
      </w:r>
      <w:r w:rsidRPr="00143A1D">
        <w:rPr>
          <w:i/>
        </w:rPr>
        <w:t>citing</w:t>
      </w:r>
      <w:r>
        <w:t xml:space="preserve"> </w:t>
      </w:r>
      <w:r w:rsidRPr="00143A1D">
        <w:t xml:space="preserve">Beth </w:t>
      </w:r>
      <w:proofErr w:type="spellStart"/>
      <w:r w:rsidRPr="00143A1D">
        <w:t>Roskilly</w:t>
      </w:r>
      <w:proofErr w:type="spellEnd"/>
      <w:r w:rsidRPr="00143A1D">
        <w:t xml:space="preserve">, Eric Keeling, Sharon Hood, Arnaud </w:t>
      </w:r>
      <w:proofErr w:type="spellStart"/>
      <w:r w:rsidRPr="00143A1D">
        <w:t>Giuggiola</w:t>
      </w:r>
      <w:proofErr w:type="spellEnd"/>
      <w:r w:rsidRPr="00143A1D">
        <w:t>, Anna Sala. Conflicting functional effects of xylem pit structure relate to the growth-longevity trade-off in a conifer species. Proceedings of the National Academy of Sciences, 2019; 201900734 DOI: 10.1073/pnas.1900734116</w:t>
      </w:r>
      <w:r>
        <w:t>.</w:t>
      </w:r>
    </w:p>
    <w:p w:rsidR="006647DA" w:rsidRDefault="006647DA" w:rsidP="006647DA">
      <w:pPr>
        <w:pStyle w:val="NormalWeb"/>
        <w:spacing w:before="0" w:after="0"/>
        <w:ind w:left="360"/>
      </w:pPr>
    </w:p>
    <w:p w:rsidR="006647DA" w:rsidRDefault="006647DA" w:rsidP="006647DA">
      <w:pPr>
        <w:pStyle w:val="CommentText"/>
        <w:tabs>
          <w:tab w:val="left" w:pos="7830"/>
        </w:tabs>
        <w:ind w:left="360"/>
        <w:rPr>
          <w:sz w:val="24"/>
          <w:szCs w:val="24"/>
        </w:rPr>
      </w:pPr>
      <w:r>
        <w:rPr>
          <w:sz w:val="24"/>
          <w:szCs w:val="24"/>
        </w:rPr>
        <w:lastRenderedPageBreak/>
        <w:t>De la Mata et al (2017) studied the variable survival of Ponderosa pine during a mountain pine beetle (MPB) outbreak and found that slow growing trees had an advantage -</w:t>
      </w:r>
    </w:p>
    <w:p w:rsidR="006647DA" w:rsidRDefault="006647DA" w:rsidP="006647DA">
      <w:pPr>
        <w:pStyle w:val="CommentText"/>
        <w:tabs>
          <w:tab w:val="left" w:pos="7830"/>
        </w:tabs>
        <w:ind w:left="1080"/>
        <w:rPr>
          <w:rFonts w:ascii="Times New Roman" w:hAnsi="Times New Roman" w:cs="Times New Roman"/>
          <w:sz w:val="24"/>
          <w:szCs w:val="24"/>
        </w:rPr>
      </w:pPr>
      <w:r w:rsidRPr="00AF019B">
        <w:rPr>
          <w:rFonts w:ascii="Times New Roman" w:hAnsi="Times New Roman" w:cs="Times New Roman"/>
          <w:sz w:val="24"/>
          <w:szCs w:val="24"/>
        </w:rPr>
        <w:t>Growth rates have fitness consequences and selection is expected (23). Indeed, we found significant genetic responses to selection on growth rates, but importantly, these responses changed in direction and strength over time (Fig. 2A). Fast growth was positively selected before the outbreak, but negatively selected during the outbreak, clearly showing that intense herbivory shifted selection patterns. Fast growth in trees under competitive environments is critical for light acquisition and resource capture, and slow growth is selected against and underrepresented at mature stages (27). Consistently, selection for fast growth was strongest during early seedling establishment when density-dependent mortality in trees typically occurs (38) and when the proportion of seeds that attain maturity is usually very small (6). The MPB outbreak, however, caused significant selection differentials in the opposite direction (positive selection for slow-growing phenotypes), which triggered a negative genetic response after the outbreak (Fig. 2A). Our results are consistent with studies showing that fast early growth within tree species correlates with decreased longevity (29) and increased herbivory at maturity (30), and provide strong empirical evidence of the conflicting effects of growth rates on fitness during ontogeny.</w:t>
      </w:r>
    </w:p>
    <w:p w:rsidR="006647DA" w:rsidRDefault="006647DA" w:rsidP="006647DA">
      <w:pPr>
        <w:pStyle w:val="CommentText"/>
        <w:tabs>
          <w:tab w:val="left" w:pos="7830"/>
        </w:tabs>
        <w:ind w:left="1080"/>
        <w:rPr>
          <w:rFonts w:ascii="Times New Roman" w:hAnsi="Times New Roman" w:cs="Times New Roman"/>
          <w:sz w:val="24"/>
          <w:szCs w:val="24"/>
        </w:rPr>
      </w:pPr>
      <w:r>
        <w:rPr>
          <w:rFonts w:ascii="Times New Roman" w:hAnsi="Times New Roman" w:cs="Times New Roman"/>
          <w:sz w:val="24"/>
          <w:szCs w:val="24"/>
        </w:rPr>
        <w:t>…</w:t>
      </w:r>
    </w:p>
    <w:p w:rsidR="006647DA" w:rsidRPr="00AF019B" w:rsidRDefault="006647DA" w:rsidP="006647DA">
      <w:pPr>
        <w:pStyle w:val="CommentText"/>
        <w:tabs>
          <w:tab w:val="left" w:pos="7830"/>
        </w:tabs>
        <w:ind w:left="1080"/>
        <w:rPr>
          <w:rFonts w:ascii="Times New Roman" w:hAnsi="Times New Roman" w:cs="Times New Roman"/>
          <w:sz w:val="24"/>
          <w:szCs w:val="24"/>
        </w:rPr>
      </w:pPr>
      <w:r w:rsidRPr="00FE18AC">
        <w:rPr>
          <w:rFonts w:ascii="Times New Roman" w:hAnsi="Times New Roman" w:cs="Times New Roman"/>
          <w:sz w:val="24"/>
          <w:szCs w:val="24"/>
        </w:rPr>
        <w:t>Our results also have important management implications.</w:t>
      </w:r>
      <w:r>
        <w:rPr>
          <w:rFonts w:ascii="Times New Roman" w:hAnsi="Times New Roman" w:cs="Times New Roman"/>
          <w:sz w:val="24"/>
          <w:szCs w:val="24"/>
        </w:rPr>
        <w:t xml:space="preserve"> </w:t>
      </w:r>
      <w:r w:rsidRPr="00FE18AC">
        <w:rPr>
          <w:rFonts w:ascii="Times New Roman" w:hAnsi="Times New Roman" w:cs="Times New Roman"/>
          <w:sz w:val="24"/>
          <w:szCs w:val="24"/>
        </w:rPr>
        <w:t>Tree improvement programs supply seed resources for managed</w:t>
      </w:r>
      <w:r>
        <w:rPr>
          <w:rFonts w:ascii="Times New Roman" w:hAnsi="Times New Roman" w:cs="Times New Roman"/>
          <w:sz w:val="24"/>
          <w:szCs w:val="24"/>
        </w:rPr>
        <w:t xml:space="preserve"> </w:t>
      </w:r>
      <w:r w:rsidRPr="00FE18AC">
        <w:rPr>
          <w:rFonts w:ascii="Times New Roman" w:hAnsi="Times New Roman" w:cs="Times New Roman"/>
          <w:sz w:val="24"/>
          <w:szCs w:val="24"/>
        </w:rPr>
        <w:t>tree plantations, and for restoration purposes after natural and</w:t>
      </w:r>
      <w:r>
        <w:rPr>
          <w:rFonts w:ascii="Times New Roman" w:hAnsi="Times New Roman" w:cs="Times New Roman"/>
          <w:sz w:val="24"/>
          <w:szCs w:val="24"/>
        </w:rPr>
        <w:t xml:space="preserve"> </w:t>
      </w:r>
      <w:r w:rsidRPr="00FE18AC">
        <w:rPr>
          <w:rFonts w:ascii="Times New Roman" w:hAnsi="Times New Roman" w:cs="Times New Roman"/>
          <w:sz w:val="24"/>
          <w:szCs w:val="24"/>
        </w:rPr>
        <w:t>human-caused disturbances (e.g.</w:t>
      </w:r>
      <w:r>
        <w:rPr>
          <w:rFonts w:ascii="Times New Roman" w:hAnsi="Times New Roman" w:cs="Times New Roman"/>
          <w:sz w:val="24"/>
          <w:szCs w:val="24"/>
        </w:rPr>
        <w:t>, fire, severe drought, and rec</w:t>
      </w:r>
      <w:r w:rsidRPr="00FE18AC">
        <w:rPr>
          <w:rFonts w:ascii="Times New Roman" w:hAnsi="Times New Roman" w:cs="Times New Roman"/>
          <w:sz w:val="24"/>
          <w:szCs w:val="24"/>
        </w:rPr>
        <w:t>lamation). These programs have</w:t>
      </w:r>
      <w:r>
        <w:rPr>
          <w:rFonts w:ascii="Times New Roman" w:hAnsi="Times New Roman" w:cs="Times New Roman"/>
          <w:sz w:val="24"/>
          <w:szCs w:val="24"/>
        </w:rPr>
        <w:t xml:space="preserve"> traditionally focused on selec</w:t>
      </w:r>
      <w:r w:rsidRPr="00FE18AC">
        <w:rPr>
          <w:rFonts w:ascii="Times New Roman" w:hAnsi="Times New Roman" w:cs="Times New Roman"/>
          <w:sz w:val="24"/>
          <w:szCs w:val="24"/>
        </w:rPr>
        <w:t>tion on growth-related traits (52), although efforts to breed for</w:t>
      </w:r>
      <w:r>
        <w:rPr>
          <w:rFonts w:ascii="Times New Roman" w:hAnsi="Times New Roman" w:cs="Times New Roman"/>
          <w:sz w:val="24"/>
          <w:szCs w:val="24"/>
        </w:rPr>
        <w:t xml:space="preserve"> </w:t>
      </w:r>
      <w:r w:rsidRPr="00FE18AC">
        <w:rPr>
          <w:rFonts w:ascii="Times New Roman" w:hAnsi="Times New Roman" w:cs="Times New Roman"/>
          <w:sz w:val="24"/>
          <w:szCs w:val="24"/>
        </w:rPr>
        <w:t>tree resistance against insects and pathogens are currently in</w:t>
      </w:r>
      <w:r>
        <w:rPr>
          <w:rFonts w:ascii="Times New Roman" w:hAnsi="Times New Roman" w:cs="Times New Roman"/>
          <w:sz w:val="24"/>
          <w:szCs w:val="24"/>
        </w:rPr>
        <w:t xml:space="preserve"> </w:t>
      </w:r>
      <w:r w:rsidRPr="00FE18AC">
        <w:rPr>
          <w:rFonts w:ascii="Times New Roman" w:hAnsi="Times New Roman" w:cs="Times New Roman"/>
          <w:sz w:val="24"/>
          <w:szCs w:val="24"/>
        </w:rPr>
        <w:t>place (53). Our results indicate that the traditional focus on fast-growth by tree breeding programs may reduce survival under</w:t>
      </w:r>
      <w:r>
        <w:rPr>
          <w:rFonts w:ascii="Times New Roman" w:hAnsi="Times New Roman" w:cs="Times New Roman"/>
          <w:sz w:val="24"/>
          <w:szCs w:val="24"/>
        </w:rPr>
        <w:t xml:space="preserve"> </w:t>
      </w:r>
      <w:r w:rsidRPr="00FE18AC">
        <w:rPr>
          <w:rFonts w:ascii="Times New Roman" w:hAnsi="Times New Roman" w:cs="Times New Roman"/>
          <w:sz w:val="24"/>
          <w:szCs w:val="24"/>
        </w:rPr>
        <w:t>intense, unpredictable stress (54).</w:t>
      </w:r>
    </w:p>
    <w:p w:rsidR="006647DA" w:rsidRDefault="006647DA" w:rsidP="006647DA">
      <w:pPr>
        <w:pStyle w:val="NormalWeb"/>
        <w:spacing w:before="0" w:after="0"/>
        <w:ind w:left="360"/>
      </w:pPr>
      <w:r>
        <w:t>Raul de la Mata, Sharon Hood, and Anna Sala</w:t>
      </w:r>
      <w:r w:rsidRPr="00AF019B">
        <w:t xml:space="preserve"> </w:t>
      </w:r>
      <w:r>
        <w:t xml:space="preserve">2017. </w:t>
      </w:r>
      <w:r w:rsidRPr="00AF019B">
        <w:t>Insect outbreak shifts the direction of selection from</w:t>
      </w:r>
      <w:r>
        <w:t xml:space="preserve"> </w:t>
      </w:r>
      <w:r w:rsidRPr="00AF019B">
        <w:t>fast to slow growth rates in the long-lived conifer</w:t>
      </w:r>
      <w:r>
        <w:t xml:space="preserve"> </w:t>
      </w:r>
      <w:proofErr w:type="spellStart"/>
      <w:r w:rsidRPr="00AF019B">
        <w:t>Pinus</w:t>
      </w:r>
      <w:proofErr w:type="spellEnd"/>
      <w:r w:rsidRPr="00AF019B">
        <w:t xml:space="preserve"> ponderosa</w:t>
      </w:r>
      <w:r>
        <w:t xml:space="preserve">. PNAS. </w:t>
      </w:r>
      <w:hyperlink r:id="rId274" w:history="1">
        <w:r w:rsidRPr="00EE0842">
          <w:rPr>
            <w:rStyle w:val="Hyperlink"/>
          </w:rPr>
          <w:t>www.pnas.org/cgi/doi/10.1073/pnas.1700032114</w:t>
        </w:r>
      </w:hyperlink>
      <w:r>
        <w:t>.</w:t>
      </w:r>
    </w:p>
    <w:p w:rsidR="006647DA" w:rsidRDefault="006647DA" w:rsidP="006647DA">
      <w:pPr>
        <w:ind w:left="360"/>
      </w:pPr>
    </w:p>
    <w:p w:rsidR="006647DA" w:rsidRPr="007F02FF" w:rsidRDefault="006647DA" w:rsidP="006647DA">
      <w:pPr>
        <w:pStyle w:val="Subtitle"/>
        <w:ind w:left="720"/>
        <w:rPr>
          <w:b/>
          <w:szCs w:val="20"/>
        </w:rPr>
      </w:pPr>
      <w:bookmarkStart w:id="51" w:name="_Toc40443507"/>
      <w:r w:rsidRPr="007F02FF">
        <w:rPr>
          <w:b/>
        </w:rPr>
        <w:t xml:space="preserve">A plan amendment is needed to conserve more spotted owl habitat to mitigate for all </w:t>
      </w:r>
      <w:r w:rsidRPr="007F02FF">
        <w:rPr>
          <w:b/>
          <w:szCs w:val="20"/>
        </w:rPr>
        <w:t>the habitat occupied by barred owls.</w:t>
      </w:r>
      <w:bookmarkEnd w:id="51"/>
      <w:r w:rsidRPr="007F02FF">
        <w:rPr>
          <w:b/>
          <w:szCs w:val="20"/>
        </w:rPr>
        <w:t xml:space="preserve"> </w:t>
      </w:r>
    </w:p>
    <w:p w:rsidR="006647DA" w:rsidRDefault="006647DA" w:rsidP="006647DA">
      <w:pPr>
        <w:ind w:left="360" w:right="-180"/>
        <w:rPr>
          <w:rFonts w:eastAsia="Times New Roman"/>
          <w:color w:val="222222"/>
        </w:rPr>
      </w:pPr>
      <w:r>
        <w:rPr>
          <w:rFonts w:eastAsia="Times New Roman"/>
          <w:color w:val="222222"/>
        </w:rPr>
        <w:t xml:space="preserve">Portions of the eastside National Forests are occupied by Threatened spotted owls. </w:t>
      </w:r>
      <w:r w:rsidRPr="005B3747">
        <w:rPr>
          <w:rFonts w:eastAsia="Times New Roman"/>
          <w:color w:val="222222"/>
        </w:rPr>
        <w:t xml:space="preserve">New science indicates that conserving more suitable owl habitat increases the chances that barred owls and spotted owls can co-exist, while logging suitable habitat increases the likelihood of competitive exclusion. See Wiens, J.D., Anthony, R.G., and E.D. </w:t>
      </w:r>
      <w:proofErr w:type="spellStart"/>
      <w:r w:rsidRPr="005B3747">
        <w:rPr>
          <w:rFonts w:eastAsia="Times New Roman"/>
          <w:color w:val="222222"/>
        </w:rPr>
        <w:t>Forsman</w:t>
      </w:r>
      <w:proofErr w:type="spellEnd"/>
      <w:r w:rsidRPr="005B3747">
        <w:rPr>
          <w:rFonts w:eastAsia="Times New Roman"/>
          <w:color w:val="222222"/>
        </w:rPr>
        <w:t>. 2014: Competitive Interactions and Resource Partitioning Between Northern Spotted Owls and Barred Owls in Western Oregon. Wildlife Monographs 185:1–50; 2014; DOI: 10.1002/wmon.1009. </w:t>
      </w:r>
      <w:hyperlink r:id="rId275" w:history="1">
        <w:r w:rsidRPr="005B3747">
          <w:rPr>
            <w:rFonts w:eastAsia="Times New Roman"/>
            <w:color w:val="1155CC"/>
            <w:u w:val="single"/>
          </w:rPr>
          <w:t>https://ir.library.oregonstate.edu/xmlui/bitstream/handle/1957/48214/AnthonyRobertFisheriesWildlifeCompetitiveInteractions.pdf</w:t>
        </w:r>
      </w:hyperlink>
      <w:r w:rsidRPr="005B3747">
        <w:rPr>
          <w:rFonts w:eastAsia="Times New Roman"/>
          <w:color w:val="222222"/>
        </w:rPr>
        <w:t xml:space="preserve">; </w:t>
      </w:r>
      <w:proofErr w:type="spellStart"/>
      <w:r w:rsidRPr="005B3747">
        <w:rPr>
          <w:rFonts w:eastAsia="Times New Roman"/>
          <w:color w:val="222222"/>
        </w:rPr>
        <w:t>Forsman</w:t>
      </w:r>
      <w:proofErr w:type="spellEnd"/>
      <w:r w:rsidRPr="005B3747">
        <w:rPr>
          <w:rFonts w:eastAsia="Times New Roman"/>
          <w:color w:val="222222"/>
        </w:rPr>
        <w:t xml:space="preserve"> et al 2010. “Population Demography of Northern Spotted Owls.” DRAFT COPY 17 December 2010. This draft manuscript is in press at the University of California Press with a projected publication date of July 2011. It will be No. 40 in Studies In Avian Biology, which is publish</w:t>
      </w:r>
      <w:r>
        <w:rPr>
          <w:rFonts w:eastAsia="Times New Roman"/>
          <w:color w:val="222222"/>
        </w:rPr>
        <w:t xml:space="preserve">ed by the Cooper </w:t>
      </w:r>
      <w:r>
        <w:rPr>
          <w:rFonts w:eastAsia="Times New Roman"/>
          <w:color w:val="222222"/>
        </w:rPr>
        <w:lastRenderedPageBreak/>
        <w:t xml:space="preserve">Ornithological </w:t>
      </w:r>
      <w:r w:rsidRPr="005B3747">
        <w:rPr>
          <w:rFonts w:eastAsia="Times New Roman"/>
          <w:color w:val="222222"/>
        </w:rPr>
        <w:t>Society</w:t>
      </w:r>
      <w:r>
        <w:rPr>
          <w:rFonts w:eastAsia="Times New Roman"/>
          <w:color w:val="222222"/>
        </w:rPr>
        <w:t xml:space="preserve"> </w:t>
      </w:r>
      <w:hyperlink r:id="rId276" w:history="1">
        <w:r w:rsidRPr="008D1F4C">
          <w:rPr>
            <w:rStyle w:val="Hyperlink"/>
            <w:rFonts w:eastAsia="Times New Roman"/>
          </w:rPr>
          <w:t>http://www.reo.gov/monitoring/reports/nso/FORSMANetal_draft_17_Dec_2010.pdf</w:t>
        </w:r>
      </w:hyperlink>
      <w:r w:rsidRPr="005B3747">
        <w:rPr>
          <w:rFonts w:eastAsia="Times New Roman"/>
          <w:color w:val="222222"/>
        </w:rPr>
        <w:t>; </w:t>
      </w:r>
    </w:p>
    <w:p w:rsidR="006647DA" w:rsidRDefault="006647DA" w:rsidP="006647DA">
      <w:pPr>
        <w:ind w:left="360"/>
      </w:pPr>
    </w:p>
    <w:p w:rsidR="006647DA" w:rsidRPr="007F02FF" w:rsidRDefault="006647DA" w:rsidP="006647DA">
      <w:pPr>
        <w:pStyle w:val="Subtitle"/>
        <w:ind w:left="720"/>
        <w:rPr>
          <w:b/>
          <w:szCs w:val="20"/>
        </w:rPr>
      </w:pPr>
      <w:bookmarkStart w:id="52" w:name="_Toc36722585"/>
      <w:bookmarkStart w:id="53" w:name="_Toc40443508"/>
      <w:r w:rsidRPr="007F02FF">
        <w:rPr>
          <w:b/>
        </w:rPr>
        <w:t>A plan amendment is needed to consider the effects of livestock grazing on forest health</w:t>
      </w:r>
      <w:bookmarkEnd w:id="52"/>
      <w:bookmarkEnd w:id="53"/>
    </w:p>
    <w:p w:rsidR="006647DA" w:rsidRDefault="006647DA" w:rsidP="006647DA">
      <w:pPr>
        <w:ind w:left="360"/>
      </w:pPr>
      <w:r>
        <w:t>Livestock grazing has a direct influence on the same vegetation structure that this project is designed to address. The Forest Service must analyze the effect of past and future grazing which will tend to reduce palatable fine fuels like grasses and shift the plant community toward less palatable conifers and shrubs which are more hazardous as ladder fuels. Livestock grazing probably contributed to the development of plant communities where grass and forbs are underrepresented and shade-tolerant conifers are over-represented. Future livestock grazing will tend to cause these same trends, so the analysis for this project must consider the connected and cumulative impacts of livestock grazing.</w:t>
      </w:r>
    </w:p>
    <w:p w:rsidR="006647DA" w:rsidRDefault="006647DA" w:rsidP="006647DA">
      <w:pPr>
        <w:ind w:left="360"/>
      </w:pPr>
    </w:p>
    <w:p w:rsidR="006647DA" w:rsidRDefault="006647DA" w:rsidP="006647DA">
      <w:pPr>
        <w:ind w:left="360"/>
      </w:pPr>
      <w:r>
        <w:t xml:space="preserve">This project should take steps to address the threat that livestock grazing causes to forest health. There is little point in the agency’s efforts to mechanically reduce tree density unless other underlying causes of overstocking are dealt with, e.g. livestock grazing. The Council on Environmental Quality directs agencies to analyze actions together when the actions are similar in timing or geography, when doing so is the best way to assess the combined impacts of the actions (40 CFR §1508.25). As recognized by BLM, “Evaluating both actions in the same EA allows BLM to better assess the combined effects and to consider complementary design features to reduce potential conflicts among potentially competing uses.” Thurston Hills Trails and Forest Management EA, </w:t>
      </w:r>
      <w:hyperlink r:id="rId277" w:history="1">
        <w:r w:rsidRPr="005420D2">
          <w:rPr>
            <w:rStyle w:val="Hyperlink"/>
          </w:rPr>
          <w:t>https://eplanning.blm.gov/epl-front-office/projects/nepa/75350/142227/174633/2018_04_23_THills_EA_Final_Print.pdf</w:t>
        </w:r>
      </w:hyperlink>
      <w:r>
        <w:t xml:space="preserve"> </w:t>
      </w:r>
    </w:p>
    <w:p w:rsidR="006647DA" w:rsidRDefault="006647DA" w:rsidP="006647DA">
      <w:pPr>
        <w:ind w:left="360"/>
      </w:pPr>
    </w:p>
    <w:p w:rsidR="006647DA" w:rsidRDefault="006647DA" w:rsidP="006647DA">
      <w:pPr>
        <w:ind w:left="360"/>
      </w:pPr>
      <w:r>
        <w:t xml:space="preserve">Grazing reduces the density and vigor of grasses which usually outcompete tree seedlings, leading to dense stands of fire-prone small trees. Cows also decrease the abundance of fine fuels which are necessary to carry periodic, low intensity surface fires. This reduces the frequency of fires, but increases their severity. See </w:t>
      </w:r>
      <w:proofErr w:type="spellStart"/>
      <w:r>
        <w:t>Belsky</w:t>
      </w:r>
      <w:proofErr w:type="spellEnd"/>
      <w:r>
        <w:t xml:space="preserve">, A.J., Blumenthal, D.M., “Effects of Livestock Grazing on Stand Dynamics and Soils in Upland Forest of the Interior West,” Conservation Biology, 11(2), April 1997. </w:t>
      </w:r>
      <w:hyperlink r:id="rId278" w:history="1">
        <w:r>
          <w:rPr>
            <w:rStyle w:val="Hyperlink"/>
          </w:rPr>
          <w:t>http://web.archive.org/web/20030409094020/http://www.onda.org/library/papers/standdynamics.pdf</w:t>
        </w:r>
      </w:hyperlink>
      <w:r>
        <w:t xml:space="preserve">. See also </w:t>
      </w:r>
      <w:proofErr w:type="spellStart"/>
      <w:r>
        <w:t>Wuerthner</w:t>
      </w:r>
      <w:proofErr w:type="spellEnd"/>
      <w:r>
        <w:t xml:space="preserve">, George. Livestock Grazing and Fire. January, 2003. </w:t>
      </w:r>
      <w:hyperlink r:id="rId279" w:history="1">
        <w:r>
          <w:rPr>
            <w:rStyle w:val="Hyperlink"/>
          </w:rPr>
          <w:t>http://web.archive.org/web/20040107135236/http://www.onda.org/library/papers/Livestock_Grazing_and_Fire.pdf</w:t>
        </w:r>
      </w:hyperlink>
      <w:r>
        <w:t>.</w:t>
      </w:r>
    </w:p>
    <w:p w:rsidR="006647DA" w:rsidRDefault="006647DA" w:rsidP="006647DA">
      <w:pPr>
        <w:ind w:left="360"/>
      </w:pPr>
    </w:p>
    <w:p w:rsidR="006647DA" w:rsidRDefault="006647DA" w:rsidP="006647DA">
      <w:pPr>
        <w:ind w:left="360"/>
      </w:pPr>
      <w:r>
        <w:t xml:space="preserve">The court’s decision in </w:t>
      </w:r>
      <w:r>
        <w:rPr>
          <w:u w:val="single"/>
        </w:rPr>
        <w:t>League of Wilderness Defenders v. USFS</w:t>
      </w:r>
      <w:r>
        <w:t>, Civil No. 04--488—HA. 2004 U.S. Dist. LEXIS 24413. November 19, 2004, makes clear that the agency has a duty to take a hard look at the effects of grazing in the context of making timber sale decisions. The agency must disclose cumulative impacts and cannot compartmentalize.</w:t>
      </w:r>
    </w:p>
    <w:p w:rsidR="006647DA" w:rsidRDefault="006647DA" w:rsidP="006647DA">
      <w:pPr>
        <w:ind w:left="360"/>
      </w:pPr>
    </w:p>
    <w:p w:rsidR="006647DA" w:rsidRDefault="006647DA" w:rsidP="006647DA">
      <w:pPr>
        <w:ind w:left="360"/>
      </w:pPr>
      <w:r>
        <w:t xml:space="preserve">Further evidence of the adverse forest health effects of livestock are presented in </w:t>
      </w:r>
      <w:proofErr w:type="spellStart"/>
      <w:r>
        <w:t>Madany</w:t>
      </w:r>
      <w:proofErr w:type="spellEnd"/>
      <w:r>
        <w:t xml:space="preserve"> et al (1983):</w:t>
      </w:r>
    </w:p>
    <w:p w:rsidR="006647DA" w:rsidRDefault="006647DA" w:rsidP="006647DA">
      <w:pPr>
        <w:ind w:left="1080"/>
      </w:pPr>
      <w:r>
        <w:t xml:space="preserve">Abstract. Major differences were found between the vegetation structure of ponderosa pine-dominated communities on the Horse Pasture Plateau and those on the nearby but isolated Church and </w:t>
      </w:r>
      <w:proofErr w:type="spellStart"/>
      <w:r>
        <w:t>Greatheart</w:t>
      </w:r>
      <w:proofErr w:type="spellEnd"/>
      <w:r>
        <w:t xml:space="preserve"> Mesas in Zion National Park. The Horse Pasture Plateau was heavily grazed by livestock in the late 19th and early 20th centuries, while the mesas were never grazed. Conditions on the mesas now approximate the pre-European situation of the region as described in the earliest written accounts. Pine, oak, and juniper sapling density and cover were much higher on the formerly grazed plateau than on the relict mesas. Herbaceous species dominated the </w:t>
      </w:r>
      <w:proofErr w:type="spellStart"/>
      <w:r>
        <w:t>groundlayer</w:t>
      </w:r>
      <w:proofErr w:type="spellEnd"/>
      <w:r>
        <w:t xml:space="preserve"> in mesa ponderosa pine savanna stands, while grass and forb cover was low on analogous sites of the plateau. Age-class distributions of major tree species further substantiated that major physiognomic changes have occurred on the plateau since the arrival of European man. Analysis of fire scars showed that prior to 1881, the mean fire-free interval for ponderosa pine stands on the plateau was 4 to 7 </w:t>
      </w:r>
      <w:proofErr w:type="spellStart"/>
      <w:r>
        <w:t>yr</w:t>
      </w:r>
      <w:proofErr w:type="spellEnd"/>
      <w:r>
        <w:t xml:space="preserve">, while the interval for Church Mesa was 69 yr. Since there were no recorded fires on Church Mesa between 1892 and 1964, and yet no corresponding increase in sapling density, the increased understory density of plateau stands should not be attributed primarily to cessation of fires. Instead, heavy grazing by livestock and associated reduction of the herbaceous </w:t>
      </w:r>
      <w:proofErr w:type="spellStart"/>
      <w:r>
        <w:t>groundlayer</w:t>
      </w:r>
      <w:proofErr w:type="spellEnd"/>
      <w:r>
        <w:t xml:space="preserve"> promoted the establishment of less palatable tree and shrub seedlings, Fire, however, played an important secondary role in maintaining savanna and woodland communities.</w:t>
      </w:r>
    </w:p>
    <w:p w:rsidR="006647DA" w:rsidRDefault="006647DA" w:rsidP="006647DA">
      <w:pPr>
        <w:ind w:left="360"/>
      </w:pPr>
      <w:r>
        <w:t xml:space="preserve">Michael H. </w:t>
      </w:r>
      <w:proofErr w:type="spellStart"/>
      <w:r>
        <w:t>Madany</w:t>
      </w:r>
      <w:proofErr w:type="spellEnd"/>
      <w:r>
        <w:t xml:space="preserve">, and </w:t>
      </w:r>
      <w:proofErr w:type="spellStart"/>
      <w:r>
        <w:t>Niel</w:t>
      </w:r>
      <w:proofErr w:type="spellEnd"/>
      <w:r>
        <w:t xml:space="preserve"> E. West. 1983. Livestock Grazing-Fire Regime Interactions within Montane Forests of Zion National Park, Utah. Ecology: Vol. 64, No. 4, pp. 661-667.</w:t>
      </w:r>
    </w:p>
    <w:p w:rsidR="006647DA" w:rsidRDefault="006647DA" w:rsidP="006647DA">
      <w:pPr>
        <w:ind w:left="360"/>
      </w:pPr>
    </w:p>
    <w:p w:rsidR="006647DA" w:rsidRDefault="006647DA" w:rsidP="006647DA">
      <w:pPr>
        <w:ind w:left="360"/>
      </w:pPr>
      <w:r>
        <w:t>The agency often erroneously concludes that livestock grazing will not affect upland vegetation of fuel profiles because fire suppressed stands are too dense to allow livestock access, but this is a gross oversimplification. The agency is conducting so-called “restoration” projects to reduce fuels and vegetation density which will allow livestock increased access to stands where the conifer encroachment processes that unfolded in the decades following the 1860s may repeat themselves. The NEPA analysis for this project must consider plan amendments to reduce the adverse effects of grazing on forest health, and disclose how livestock grazing interacts with the so-called forest restoration projects. The goal of restoration is a more open stand, and the agency wants more grass and forbs and fewer conifers, but grazing in those “restored” stands will cause the opposite effect – more conifers and less grass and forbs – thereby conflicting with the restoration objectives.</w:t>
      </w:r>
    </w:p>
    <w:p w:rsidR="006647DA" w:rsidRDefault="006647DA" w:rsidP="006647DA">
      <w:pPr>
        <w:ind w:left="360"/>
      </w:pPr>
    </w:p>
    <w:p w:rsidR="006647DA" w:rsidRPr="007F02FF" w:rsidRDefault="006647DA" w:rsidP="006647DA">
      <w:pPr>
        <w:pStyle w:val="Subtitle"/>
        <w:ind w:left="720"/>
        <w:rPr>
          <w:b/>
        </w:rPr>
      </w:pPr>
      <w:bookmarkStart w:id="54" w:name="_Toc40443509"/>
      <w:r w:rsidRPr="007F02FF">
        <w:rPr>
          <w:b/>
        </w:rPr>
        <w:t>A plan amendment is needed to protect roadless areas.</w:t>
      </w:r>
      <w:bookmarkEnd w:id="54"/>
      <w:r w:rsidRPr="007F02FF">
        <w:rPr>
          <w:b/>
        </w:rPr>
        <w:t xml:space="preserve"> </w:t>
      </w:r>
    </w:p>
    <w:p w:rsidR="006647DA" w:rsidRPr="002F1DE3" w:rsidRDefault="006647DA" w:rsidP="006647DA">
      <w:pPr>
        <w:ind w:left="360"/>
      </w:pPr>
      <w:bookmarkStart w:id="55" w:name="_Toc36722479"/>
      <w:r w:rsidRPr="002F1DE3">
        <w:lastRenderedPageBreak/>
        <w:t>This project must address significant new information about the impacts of roads since the forest plan was adopted</w:t>
      </w:r>
      <w:bookmarkEnd w:id="55"/>
      <w:r>
        <w:t>:</w:t>
      </w:r>
    </w:p>
    <w:p w:rsidR="006647DA" w:rsidRDefault="006647DA" w:rsidP="006647DA">
      <w:pPr>
        <w:ind w:left="1080"/>
      </w:pPr>
      <w:r>
        <w:t>As research and analysis techniques have become more sophisticated, particularly with the advent of geographic information systems (GIS) and high-resolution remote imagery, the study of effects of roads on terrestrial and aquatic communities has evolved into a unique discipline of “road ecology” (Forman et al. 2003). Road effects are far more pervasive than originally believed and include such disparate consequences as population and habitat fragmentation, accelerated rates of soil erosion, and invasion of exotic plants along roadways. Indeed, “in public wildlands management, road systems are the largest human investment and the feature most damaging to the environment” (</w:t>
      </w:r>
      <w:proofErr w:type="spellStart"/>
      <w:r>
        <w:t>Gucinski</w:t>
      </w:r>
      <w:proofErr w:type="spellEnd"/>
      <w:r>
        <w:t xml:space="preserve"> et al. 2001:7). Summaries of the effects of roads on wildlife habitats and biological systems in general have been compiled by Forman and Alexander (1998), </w:t>
      </w:r>
      <w:proofErr w:type="spellStart"/>
      <w:r>
        <w:t>Trombulak</w:t>
      </w:r>
      <w:proofErr w:type="spellEnd"/>
      <w:r>
        <w:t xml:space="preserve"> and </w:t>
      </w:r>
      <w:proofErr w:type="spellStart"/>
      <w:r>
        <w:t>Frissell</w:t>
      </w:r>
      <w:proofErr w:type="spellEnd"/>
      <w:r>
        <w:t xml:space="preserve"> (2000), </w:t>
      </w:r>
      <w:proofErr w:type="spellStart"/>
      <w:r>
        <w:t>Gucinski</w:t>
      </w:r>
      <w:proofErr w:type="spellEnd"/>
      <w:r>
        <w:t xml:space="preserve"> et al. (2001), Forman et al. (2003), and Gaines et al. (2003). </w:t>
      </w:r>
    </w:p>
    <w:p w:rsidR="006647DA" w:rsidRDefault="006647DA" w:rsidP="006647DA">
      <w:pPr>
        <w:autoSpaceDE w:val="0"/>
        <w:ind w:left="360"/>
        <w:rPr>
          <w:sz w:val="20"/>
        </w:rPr>
      </w:pPr>
      <w:r>
        <w:t xml:space="preserve">Rowland, M. M., M. J. Wisdom, B. K. Johnson, and M. A. </w:t>
      </w:r>
      <w:proofErr w:type="spellStart"/>
      <w:r>
        <w:t>Penninger</w:t>
      </w:r>
      <w:proofErr w:type="spellEnd"/>
      <w:r>
        <w:t xml:space="preserve">. 2004. Effects of Roads on Elk: Implications for Management in Forested Ecosystems. Transactions of the North American Wildlife and Natural Resource Conference 69: in press. </w:t>
      </w:r>
      <w:hyperlink r:id="rId280" w:history="1">
        <w:r>
          <w:rPr>
            <w:rStyle w:val="Hyperlink"/>
          </w:rPr>
          <w:t>http://www.fs.fed.us/pnw/lagrande/starkey_na/PDFs_Preprints/ms-04_Rowland.pdf</w:t>
        </w:r>
      </w:hyperlink>
      <w:r>
        <w:t xml:space="preserve"> </w:t>
      </w:r>
      <w:r>
        <w:rPr>
          <w:i/>
        </w:rPr>
        <w:t>citing</w:t>
      </w:r>
      <w:r>
        <w:t xml:space="preserve"> Forman, R. T. T., D. Sperling, J. A. </w:t>
      </w:r>
      <w:proofErr w:type="spellStart"/>
      <w:r>
        <w:t>Bissonette</w:t>
      </w:r>
      <w:proofErr w:type="spellEnd"/>
      <w:r>
        <w:t xml:space="preserve"> et al. 2003. </w:t>
      </w:r>
      <w:r>
        <w:rPr>
          <w:i/>
          <w:iCs/>
        </w:rPr>
        <w:t>Road ecology: science and solutions</w:t>
      </w:r>
      <w:r>
        <w:t xml:space="preserve">. Washington, DC: Island Press. Forman, R. T. T., and L. E. Alexander. 1998. Roads and their major ecological effects. </w:t>
      </w:r>
      <w:r>
        <w:rPr>
          <w:i/>
          <w:iCs/>
        </w:rPr>
        <w:t xml:space="preserve">Annual Review of Ecology and Systematics </w:t>
      </w:r>
      <w:r>
        <w:t xml:space="preserve">29:207-231. </w:t>
      </w:r>
      <w:hyperlink r:id="rId281" w:history="1">
        <w:r>
          <w:rPr>
            <w:rStyle w:val="Hyperlink"/>
          </w:rPr>
          <w:t>http://arjournals.annualreviews.org/doi/abs/10.1146/annurev.ecolsys.29.1.207</w:t>
        </w:r>
      </w:hyperlink>
      <w:r>
        <w:t xml:space="preserve">. </w:t>
      </w:r>
      <w:proofErr w:type="spellStart"/>
      <w:r>
        <w:t>Gucinski</w:t>
      </w:r>
      <w:proofErr w:type="spellEnd"/>
      <w:r>
        <w:t xml:space="preserve">, H., M. H. Brooks, M. J. </w:t>
      </w:r>
      <w:proofErr w:type="spellStart"/>
      <w:r>
        <w:t>Furniss</w:t>
      </w:r>
      <w:proofErr w:type="spellEnd"/>
      <w:r>
        <w:t xml:space="preserve">, and R. R. </w:t>
      </w:r>
      <w:proofErr w:type="spellStart"/>
      <w:r>
        <w:t>Ziemer</w:t>
      </w:r>
      <w:proofErr w:type="spellEnd"/>
      <w:r>
        <w:t xml:space="preserve">. 2001. </w:t>
      </w:r>
      <w:r>
        <w:rPr>
          <w:i/>
          <w:iCs/>
        </w:rPr>
        <w:t>Forest roads: a synthesis of scientific information</w:t>
      </w:r>
      <w:r>
        <w:t xml:space="preserve">. U.S. Department of Agriculture, Forest Service, General Technical Report PNW-GTR-509, Portland, Oregon. </w:t>
      </w:r>
      <w:hyperlink r:id="rId282" w:history="1">
        <w:r>
          <w:rPr>
            <w:rStyle w:val="Hyperlink"/>
          </w:rPr>
          <w:t>http://www.fs.fed.us/pnw/pubs/gtr509.pdf</w:t>
        </w:r>
      </w:hyperlink>
      <w:r>
        <w:t xml:space="preserve">. Gaines, W. L., P. H. Singleton, and R. C. Ross. 2003. </w:t>
      </w:r>
      <w:r>
        <w:rPr>
          <w:i/>
          <w:iCs/>
        </w:rPr>
        <w:t>Assessing the cumulative effects of linear recreation routes on wildlife habitats on the Okanogan and Wenatchee National Forests</w:t>
      </w:r>
      <w:r>
        <w:t xml:space="preserve">. U.S. Department of Agriculture, Forest Service, General Technical Report PNW-GTR-586, Portland, Oregon. </w:t>
      </w:r>
      <w:hyperlink r:id="rId283" w:history="1">
        <w:r>
          <w:rPr>
            <w:rStyle w:val="Hyperlink"/>
          </w:rPr>
          <w:t>http://www.fs.fed.us/pnw/pubs/gtr586.pdf</w:t>
        </w:r>
      </w:hyperlink>
      <w:r>
        <w:t xml:space="preserve">. </w:t>
      </w:r>
      <w:proofErr w:type="spellStart"/>
      <w:r>
        <w:t>Trombulak</w:t>
      </w:r>
      <w:proofErr w:type="spellEnd"/>
      <w:r>
        <w:t xml:space="preserve">, S. C., and C. A. </w:t>
      </w:r>
      <w:proofErr w:type="spellStart"/>
      <w:r>
        <w:t>Frissell</w:t>
      </w:r>
      <w:proofErr w:type="spellEnd"/>
      <w:r>
        <w:t xml:space="preserve">. 2000. Review of ecological effects of roads on terrestrial and aquatic communities. </w:t>
      </w:r>
      <w:r>
        <w:rPr>
          <w:i/>
          <w:iCs/>
        </w:rPr>
        <w:t xml:space="preserve">Conservation Biology </w:t>
      </w:r>
      <w:r>
        <w:t xml:space="preserve">14:18-30. </w:t>
      </w:r>
      <w:hyperlink r:id="rId284" w:history="1">
        <w:r>
          <w:rPr>
            <w:rStyle w:val="Hyperlink"/>
          </w:rPr>
          <w:t>http://roadecology.ucdavis.edu/pdflib/TTP_289/W08/Trombulak%20and%20Frissell%202000.pdf</w:t>
        </w:r>
      </w:hyperlink>
      <w:r>
        <w:t xml:space="preserve">. See also: Andreas Seiler. 2001. Ecological Effects of Roads: A review. Introductory Research Essay No 9. Swedish University of Agricultural Sciences. Department of Conservation Biology, SLU Uppsala </w:t>
      </w:r>
      <w:hyperlink r:id="rId285" w:history="1">
        <w:r>
          <w:rPr>
            <w:rStyle w:val="Hyperlink"/>
          </w:rPr>
          <w:t>http://idd00s4z.eresmas.net/doc/transp/ecoeffectsonroads.pdf</w:t>
        </w:r>
      </w:hyperlink>
      <w:r>
        <w:t xml:space="preserve"> (links to all of “Ecological Effects of Roads: A Review.”)</w:t>
      </w:r>
    </w:p>
    <w:p w:rsidR="006647DA" w:rsidRDefault="006647DA" w:rsidP="006647DA">
      <w:pPr>
        <w:ind w:left="360"/>
      </w:pPr>
    </w:p>
    <w:p w:rsidR="006647DA" w:rsidRDefault="006647DA" w:rsidP="006647DA">
      <w:pPr>
        <w:ind w:left="360"/>
      </w:pPr>
      <w:r>
        <w:t xml:space="preserve">Large unroaded areas are important simply due to the fact that they better represent the historic condition that species evolved with but they are now rare on the landscape due to </w:t>
      </w:r>
      <w:r>
        <w:lastRenderedPageBreak/>
        <w:t xml:space="preserve">human activities that have degraded and fragmented the majority of the landscape. The Northwest Forest Plan LSOG Effectiveness Monitoring Plan says that “perhaps 80 percent or more [of the historic late-successional old-growth forest] would probably have occurred as relatively large (greater than 1,000 acres) areas of connected forest.” Miles Hemstrom, Thomas Spies, Craig Palmer, Ross </w:t>
      </w:r>
      <w:proofErr w:type="spellStart"/>
      <w:r>
        <w:t>Kiester</w:t>
      </w:r>
      <w:proofErr w:type="spellEnd"/>
      <w:r>
        <w:t xml:space="preserve">, John </w:t>
      </w:r>
      <w:proofErr w:type="spellStart"/>
      <w:r>
        <w:t>Teply</w:t>
      </w:r>
      <w:proofErr w:type="spellEnd"/>
      <w:r>
        <w:t xml:space="preserve">, Phil McDonald, and Ralph </w:t>
      </w:r>
      <w:proofErr w:type="spellStart"/>
      <w:r>
        <w:t>Warbington</w:t>
      </w:r>
      <w:proofErr w:type="spellEnd"/>
      <w:r>
        <w:t xml:space="preserve">; Late-Successional and Old-Growth Forest Effectiveness Monitoring Plan for the Northwest Forest Plan, USFS General Technical Report PNW-GTR-438; December 1998; </w:t>
      </w:r>
      <w:hyperlink r:id="rId286" w:history="1">
        <w:r>
          <w:rPr>
            <w:rStyle w:val="Hyperlink"/>
          </w:rPr>
          <w:t>http://www.fs.fed.us/pnw/pubs/gtr_438.pdf</w:t>
        </w:r>
      </w:hyperlink>
      <w:r>
        <w:t>. Currently, these 1,000 acre and larger patches are rare on the landscape.</w:t>
      </w:r>
    </w:p>
    <w:p w:rsidR="006647DA" w:rsidRDefault="006647DA" w:rsidP="006647DA">
      <w:pPr>
        <w:ind w:left="360"/>
      </w:pPr>
    </w:p>
    <w:p w:rsidR="006647DA" w:rsidRDefault="006647DA" w:rsidP="006647DA">
      <w:pPr>
        <w:ind w:left="360"/>
      </w:pPr>
      <w:proofErr w:type="spellStart"/>
      <w:r>
        <w:t>Boakes</w:t>
      </w:r>
      <w:proofErr w:type="spellEnd"/>
      <w:r>
        <w:t xml:space="preserve"> et al (2009) explained why it is important to retain large unroaded areas.</w:t>
      </w:r>
    </w:p>
    <w:p w:rsidR="006647DA" w:rsidRDefault="006647DA" w:rsidP="006647DA">
      <w:pPr>
        <w:autoSpaceDE w:val="0"/>
        <w:ind w:left="1080"/>
      </w:pPr>
      <w:r>
        <w:rPr>
          <w:b/>
        </w:rPr>
        <w:t>Abstract:</w:t>
      </w:r>
      <w:r>
        <w:t xml:space="preserve"> Habitat clearance remains the major cause of biodiversity loss, with consequences for ecosystem services and for people. In response to this, many global conservation schemes direct funds to regions with high rates of recent habitat destruction, though some also </w:t>
      </w:r>
      <w:r>
        <w:rPr>
          <w:b/>
          <w:bCs/>
        </w:rPr>
        <w:t>emphasize the conservation of remaining large tracts of intact habitat</w:t>
      </w:r>
      <w:r>
        <w:t xml:space="preserve">. If the pattern of </w:t>
      </w:r>
      <w:r>
        <w:rPr>
          <w:b/>
          <w:bCs/>
        </w:rPr>
        <w:t>habitat clearance is highly contagious</w:t>
      </w:r>
      <w:r>
        <w:t xml:space="preserve">, the latter approach will help </w:t>
      </w:r>
      <w:r>
        <w:rPr>
          <w:b/>
          <w:bCs/>
        </w:rPr>
        <w:t xml:space="preserve">prevent destructive processes gaining a foothold </w:t>
      </w:r>
      <w:r>
        <w:t xml:space="preserve">in areas of contiguous intact habitat. Here, we test the strength of spatial contagion in the pattern of habitat clearance. Using a global dataset of land-cover change at 50x50 km resolution, we discover that intact habitat areas in grid cells are refractory to clearance only when all </w:t>
      </w:r>
      <w:proofErr w:type="spellStart"/>
      <w:r>
        <w:t>neighbouring</w:t>
      </w:r>
      <w:proofErr w:type="spellEnd"/>
      <w:r>
        <w:t xml:space="preserve"> cells are also intact. The </w:t>
      </w:r>
      <w:r>
        <w:rPr>
          <w:b/>
          <w:bCs/>
        </w:rPr>
        <w:t xml:space="preserve">likelihood of loss increases dramatically as soon as habitat is cleared in just one </w:t>
      </w:r>
      <w:proofErr w:type="spellStart"/>
      <w:r>
        <w:rPr>
          <w:b/>
          <w:bCs/>
        </w:rPr>
        <w:t>neighbouring</w:t>
      </w:r>
      <w:proofErr w:type="spellEnd"/>
      <w:r>
        <w:rPr>
          <w:b/>
          <w:bCs/>
        </w:rPr>
        <w:t xml:space="preserve"> cell</w:t>
      </w:r>
      <w:r>
        <w:t xml:space="preserve">, and remains high thereafter. </w:t>
      </w:r>
      <w:r>
        <w:rPr>
          <w:b/>
          <w:bCs/>
        </w:rPr>
        <w:t>This effect is consistent for forests and grassland, across biogeographic realms and over centuries, constituting a coherent global pattern</w:t>
      </w:r>
      <w:r>
        <w:t xml:space="preserve">. Our results show that landscapes become vulnerable to wholesale clearance as soon as </w:t>
      </w:r>
      <w:r>
        <w:rPr>
          <w:b/>
          <w:bCs/>
        </w:rPr>
        <w:t>threatening processes begin to penetrate</w:t>
      </w:r>
      <w:r>
        <w:t>, so actions to prevent any incursions into large, intact blocks of natural habitat are key to their long-term persistence.</w:t>
      </w:r>
    </w:p>
    <w:p w:rsidR="006647DA" w:rsidRDefault="006647DA" w:rsidP="006647DA">
      <w:pPr>
        <w:ind w:left="360"/>
      </w:pPr>
      <w:r>
        <w:t xml:space="preserve">Elizabeth H. </w:t>
      </w:r>
      <w:proofErr w:type="spellStart"/>
      <w:r>
        <w:t>Boakes</w:t>
      </w:r>
      <w:proofErr w:type="spellEnd"/>
      <w:r>
        <w:t xml:space="preserve">, Georgina M. Mace, Philip J. K. McGowan and Richard A. Fuller 2009. Extreme contagion in global habitat clearance. Proceedings of the Royal Society B: Biological Sciences. November 25, 2009. </w:t>
      </w:r>
      <w:proofErr w:type="spellStart"/>
      <w:r>
        <w:t>doi</w:t>
      </w:r>
      <w:proofErr w:type="spellEnd"/>
      <w:r>
        <w:t>: 10.1098/rspb.2009.1771</w:t>
      </w:r>
    </w:p>
    <w:p w:rsidR="006647DA" w:rsidRDefault="006647DA" w:rsidP="006647DA">
      <w:pPr>
        <w:ind w:left="360"/>
      </w:pPr>
    </w:p>
    <w:p w:rsidR="006647DA" w:rsidRDefault="006647DA" w:rsidP="006647DA">
      <w:pPr>
        <w:ind w:left="360"/>
      </w:pPr>
      <w:r>
        <w:t>World Wildlife Fund and the Conservation Biology Institute summarized the important attributes of small roadless areas (1,000-5,000 acres).</w:t>
      </w:r>
    </w:p>
    <w:p w:rsidR="006647DA" w:rsidRPr="005445C6" w:rsidRDefault="006647DA" w:rsidP="006647DA">
      <w:pPr>
        <w:ind w:left="1080"/>
      </w:pPr>
      <w:r w:rsidRPr="005445C6">
        <w:t>Small roadless areas share many of attributes in common with larger ones,</w:t>
      </w:r>
      <w:r>
        <w:t xml:space="preserve"> </w:t>
      </w:r>
      <w:r w:rsidRPr="005445C6">
        <w:t>including:</w:t>
      </w:r>
    </w:p>
    <w:p w:rsidR="006647DA" w:rsidRPr="005445C6" w:rsidRDefault="006647DA" w:rsidP="006647DA">
      <w:pPr>
        <w:ind w:left="1080"/>
      </w:pPr>
      <w:r w:rsidRPr="005445C6">
        <w:t>• Essential habitat for species key to the recovery of forests following</w:t>
      </w:r>
      <w:r>
        <w:t xml:space="preserve"> </w:t>
      </w:r>
      <w:r w:rsidRPr="005445C6">
        <w:t>disturbance such as herbaceous plants, lichens, and mycorrhizal fungi</w:t>
      </w:r>
    </w:p>
    <w:p w:rsidR="006647DA" w:rsidRPr="005445C6" w:rsidRDefault="006647DA" w:rsidP="006647DA">
      <w:pPr>
        <w:ind w:left="1080"/>
      </w:pPr>
      <w:r w:rsidRPr="005445C6">
        <w:t>• Habitat refugia for threatened species and those with restricted distributions</w:t>
      </w:r>
      <w:r>
        <w:t xml:space="preserve"> </w:t>
      </w:r>
      <w:r w:rsidRPr="005445C6">
        <w:t>(endemics)</w:t>
      </w:r>
    </w:p>
    <w:p w:rsidR="006647DA" w:rsidRPr="005445C6" w:rsidRDefault="006647DA" w:rsidP="006647DA">
      <w:pPr>
        <w:ind w:left="1080"/>
      </w:pPr>
      <w:r w:rsidRPr="005445C6">
        <w:t>• Aquatic strongholds for salmonids</w:t>
      </w:r>
    </w:p>
    <w:p w:rsidR="006647DA" w:rsidRPr="005445C6" w:rsidRDefault="006647DA" w:rsidP="006647DA">
      <w:pPr>
        <w:ind w:left="1080"/>
      </w:pPr>
      <w:r w:rsidRPr="005445C6">
        <w:t>• Undisturbed habitats for mollusks and amphibians</w:t>
      </w:r>
    </w:p>
    <w:p w:rsidR="006647DA" w:rsidRPr="005445C6" w:rsidRDefault="006647DA" w:rsidP="006647DA">
      <w:pPr>
        <w:ind w:left="1080"/>
      </w:pPr>
      <w:r w:rsidRPr="005445C6">
        <w:lastRenderedPageBreak/>
        <w:t>• Remaining pockets of old-growth forests</w:t>
      </w:r>
    </w:p>
    <w:p w:rsidR="006647DA" w:rsidRPr="005445C6" w:rsidRDefault="006647DA" w:rsidP="006647DA">
      <w:pPr>
        <w:ind w:left="1080"/>
      </w:pPr>
      <w:r w:rsidRPr="005445C6">
        <w:t>• Overwintering habitat for resident birds and ungulates</w:t>
      </w:r>
    </w:p>
    <w:p w:rsidR="006647DA" w:rsidRPr="00D854CD" w:rsidRDefault="006647DA" w:rsidP="006647DA">
      <w:pPr>
        <w:ind w:left="1080"/>
      </w:pPr>
      <w:r w:rsidRPr="005445C6">
        <w:t>• Dispersal “stepping stones” for wildlife movement across fragmented</w:t>
      </w:r>
      <w:r>
        <w:t xml:space="preserve"> </w:t>
      </w:r>
      <w:r w:rsidRPr="005445C6">
        <w:t>landscapes</w:t>
      </w:r>
    </w:p>
    <w:p w:rsidR="006647DA" w:rsidRDefault="006647DA" w:rsidP="006647DA">
      <w:pPr>
        <w:ind w:left="360"/>
      </w:pPr>
      <w:r>
        <w:t xml:space="preserve">WWF CBI 200x. </w:t>
      </w:r>
      <w:r w:rsidRPr="005445C6">
        <w:t>Importance of Roadless Areas in</w:t>
      </w:r>
      <w:r>
        <w:t xml:space="preserve"> </w:t>
      </w:r>
      <w:r w:rsidRPr="005445C6">
        <w:t>Biodiversity Conservation:</w:t>
      </w:r>
      <w:r>
        <w:t xml:space="preserve"> </w:t>
      </w:r>
      <w:r w:rsidRPr="005445C6">
        <w:t>A Scientific Perspective</w:t>
      </w:r>
      <w:r>
        <w:t xml:space="preserve"> - </w:t>
      </w:r>
      <w:r w:rsidRPr="005445C6">
        <w:t>Executive Summary</w:t>
      </w:r>
      <w:r>
        <w:t>.</w:t>
      </w:r>
    </w:p>
    <w:p w:rsidR="006647DA" w:rsidRDefault="00347CB8" w:rsidP="006647DA">
      <w:pPr>
        <w:ind w:left="360"/>
      </w:pPr>
      <w:hyperlink r:id="rId287" w:history="1">
        <w:r w:rsidR="006647DA" w:rsidRPr="00982E5B">
          <w:rPr>
            <w:rStyle w:val="Hyperlink"/>
          </w:rPr>
          <w:t>http://magicalliance.org/download/ecological-importance-of-roadless-areas.pdf</w:t>
        </w:r>
      </w:hyperlink>
      <w:r w:rsidR="006647DA">
        <w:t xml:space="preserve">  </w:t>
      </w:r>
    </w:p>
    <w:p w:rsidR="006647DA" w:rsidRDefault="006647DA" w:rsidP="006647DA">
      <w:pPr>
        <w:ind w:left="360"/>
      </w:pPr>
    </w:p>
    <w:p w:rsidR="006647DA" w:rsidRPr="00D854CD" w:rsidRDefault="006647DA" w:rsidP="006647DA">
      <w:pPr>
        <w:ind w:left="360"/>
      </w:pPr>
      <w:r>
        <w:rPr>
          <w:rFonts w:eastAsia="Times New Roman"/>
        </w:rPr>
        <w:t xml:space="preserve">In a 1997 letter to President Clinton, </w:t>
      </w:r>
      <w:r w:rsidRPr="00D854CD">
        <w:rPr>
          <w:rFonts w:eastAsia="Times New Roman"/>
        </w:rPr>
        <w:t xml:space="preserve">136 scientists </w:t>
      </w:r>
      <w:r>
        <w:rPr>
          <w:rFonts w:eastAsia="Times New Roman"/>
        </w:rPr>
        <w:t>said:</w:t>
      </w:r>
    </w:p>
    <w:p w:rsidR="006647DA" w:rsidRPr="00D854CD" w:rsidRDefault="006647DA" w:rsidP="006647DA">
      <w:pPr>
        <w:ind w:left="1080"/>
      </w:pPr>
      <w:r w:rsidRPr="00D854CD">
        <w:rPr>
          <w:rFonts w:eastAsia="Times New Roman"/>
        </w:rPr>
        <w:t>There is a growing consensus among academic and agency scientists that existing roadless areas–irrespective of size–contribute substantially to maintaining biodiversity and ecological integrity on the national forests. The Eastside Forests Scientific Societies Panel, including representatives from the American Fisheries Society, American Ornithologists’ Union, Ecological Society of America, Society for Conservation Biology, and The Wildlife Society, recommended a prohibition on the construction of new roads and logging within existing (1) roadless regions larger than 1,000 acres, and (2) roadless regions smaller than 1,000 acres that are biologically significant…. Other scientists have also recommended protection of all roadless areas greater than 1,000 acres, at least until landscapes degraded by past management have recovered…. As you have acknowledged, a national policy prohibiting road building and other forms of development in roadless areas represents a major step towards balancing sustainable forest management with conserving environmental values on federal lands. In our view, a scientifically based policy for roadless areas on public lands should, at a minimum, protect from development all roadless areas larger than 1,000 acres and those smaller areas that have special ecological significance because of their contributions to regional landscapes.</w:t>
      </w:r>
    </w:p>
    <w:p w:rsidR="006647DA" w:rsidRPr="00D854CD" w:rsidRDefault="006647DA" w:rsidP="006647DA">
      <w:pPr>
        <w:ind w:left="360"/>
      </w:pPr>
      <w:r w:rsidRPr="00D854CD">
        <w:rPr>
          <w:rFonts w:eastAsia="Times New Roman"/>
        </w:rPr>
        <w:t>Letter to President Clinton from 136 scientists (Dec. 10, 1997).</w:t>
      </w:r>
    </w:p>
    <w:p w:rsidR="006647DA" w:rsidRPr="00D854CD" w:rsidRDefault="00347CB8" w:rsidP="006647DA">
      <w:pPr>
        <w:ind w:left="360"/>
      </w:pPr>
      <w:hyperlink r:id="rId288">
        <w:r w:rsidR="006647DA" w:rsidRPr="00D854CD">
          <w:rPr>
            <w:rFonts w:eastAsia="Times New Roman"/>
            <w:color w:val="1155CC"/>
            <w:u w:val="single"/>
          </w:rPr>
          <w:t>https://docs.google.com/open?id=0B4L_-RD-MJwrRzhFcm5QcFR0MHM</w:t>
        </w:r>
      </w:hyperlink>
    </w:p>
    <w:p w:rsidR="006647DA" w:rsidRDefault="006647DA" w:rsidP="006647DA">
      <w:pPr>
        <w:ind w:left="360"/>
      </w:pPr>
    </w:p>
    <w:p w:rsidR="006647DA" w:rsidRDefault="006647DA" w:rsidP="006647DA">
      <w:pPr>
        <w:ind w:left="360"/>
        <w:rPr>
          <w:rFonts w:eastAsia="Symbol"/>
        </w:rPr>
      </w:pPr>
      <w:r>
        <w:rPr>
          <w:rFonts w:eastAsia="Symbol"/>
          <w:color w:val="222222"/>
          <w:shd w:val="clear" w:color="auto" w:fill="FFFFFF"/>
        </w:rPr>
        <w:t>To the list of special values found within unroaded areas must be added carbon storage. European policy leaders consider roadless areas effective for carbon storage and climate mitigation:</w:t>
      </w:r>
    </w:p>
    <w:p w:rsidR="006647DA" w:rsidRDefault="006647DA" w:rsidP="006647DA">
      <w:pPr>
        <w:pStyle w:val="BodyTextIndent"/>
        <w:ind w:left="1080"/>
      </w:pPr>
      <w:r>
        <w:rPr>
          <w:rFonts w:eastAsia="Symbol"/>
        </w:rPr>
        <w:t xml:space="preserve">[T]he European Parliament has agreed to raise the issue of roadbuilding in intact forests at the UN Climate Change Conference to be held next month in Warsaw (Poland); it calls on parties to use the existence of roads in forest areas as an early negative performance indicator of REDD+ projects, and to </w:t>
      </w:r>
      <w:proofErr w:type="spellStart"/>
      <w:r>
        <w:rPr>
          <w:rFonts w:eastAsia="Symbol"/>
        </w:rPr>
        <w:t>prioritise</w:t>
      </w:r>
      <w:proofErr w:type="spellEnd"/>
      <w:r>
        <w:rPr>
          <w:rFonts w:eastAsia="Symbol"/>
        </w:rPr>
        <w:t xml:space="preserve"> the allocation of REDD+ funds towards road free forests.</w:t>
      </w:r>
    </w:p>
    <w:p w:rsidR="006647DA" w:rsidRDefault="006647DA" w:rsidP="006647DA">
      <w:pPr>
        <w:ind w:left="360"/>
      </w:pPr>
      <w:r>
        <w:t xml:space="preserve">Oct 24, 2013 Press release: EUROPEAN PARLIAMENT BACKS THE PROTECTION OF ROADFREE AREAS. </w:t>
      </w:r>
      <w:hyperlink r:id="rId289" w:history="1">
        <w:r>
          <w:rPr>
            <w:rStyle w:val="Hyperlink"/>
          </w:rPr>
          <w:t>http://kritonarsenis.gr/eng/actions/view/european-parliament-backs-the-protection</w:t>
        </w:r>
      </w:hyperlink>
      <w:r>
        <w:t xml:space="preserve">. Federal land managers should recognize the tremendous carbon values in unroaded/unmanaged forests and avoid actions that would threaten these values. See also, William R. </w:t>
      </w:r>
      <w:proofErr w:type="spellStart"/>
      <w:r>
        <w:t>Moomaw</w:t>
      </w:r>
      <w:proofErr w:type="spellEnd"/>
      <w:r>
        <w:t xml:space="preserve">, Susan A. </w:t>
      </w:r>
      <w:proofErr w:type="spellStart"/>
      <w:r>
        <w:t>Masino</w:t>
      </w:r>
      <w:proofErr w:type="spellEnd"/>
      <w:r>
        <w:t xml:space="preserve">, and Edward K. Faison. 2019. Intact Forests in the </w:t>
      </w:r>
      <w:r>
        <w:lastRenderedPageBreak/>
        <w:t xml:space="preserve">United States: </w:t>
      </w:r>
      <w:proofErr w:type="spellStart"/>
      <w:r>
        <w:t>Proforestation</w:t>
      </w:r>
      <w:proofErr w:type="spellEnd"/>
      <w:r>
        <w:t xml:space="preserve"> Mitigates Climate Change and Serves the Greatest Good Front. For. Glob. Change, 11 June 2019 | </w:t>
      </w:r>
      <w:hyperlink r:id="rId290" w:history="1">
        <w:r w:rsidRPr="00331BE1">
          <w:rPr>
            <w:rStyle w:val="Hyperlink"/>
          </w:rPr>
          <w:t>https://doi.org/10.3389/ffgc.2019.00027</w:t>
        </w:r>
      </w:hyperlink>
      <w:r>
        <w:t xml:space="preserve">;  </w:t>
      </w:r>
      <w:hyperlink r:id="rId291" w:history="1">
        <w:r w:rsidRPr="00331BE1">
          <w:rPr>
            <w:rStyle w:val="Hyperlink"/>
          </w:rPr>
          <w:t>https://www.frontiersin.org/articles/10.3389/ffgc.2019.00027/full</w:t>
        </w:r>
      </w:hyperlink>
      <w:r>
        <w:t xml:space="preserve">. </w:t>
      </w:r>
    </w:p>
    <w:p w:rsidR="006647DA" w:rsidRDefault="006647DA" w:rsidP="006647DA">
      <w:pPr>
        <w:ind w:left="360"/>
      </w:pPr>
    </w:p>
    <w:p w:rsidR="006647DA" w:rsidRDefault="006647DA" w:rsidP="006647DA">
      <w:pPr>
        <w:ind w:left="360"/>
      </w:pPr>
      <w:r>
        <w:t xml:space="preserve">There are tremendous co-benefits from conserving large blocks of unmanaged forests, such as climate mitigation and biodiversity conservation. </w:t>
      </w:r>
    </w:p>
    <w:p w:rsidR="006647DA" w:rsidRDefault="006647DA" w:rsidP="006647DA">
      <w:pPr>
        <w:ind w:left="1080"/>
      </w:pPr>
      <w:r>
        <w:t xml:space="preserve">Based on the species–area relationship, regarded as one of ecology’s few universal laws, protection of [too] little habitat will condemn thousands of species to extinction if habitat outside them is converted, degraded or lost. It is this logic that underpins calls </w:t>
      </w:r>
      <w:proofErr w:type="spellStart"/>
      <w:r>
        <w:t>for‘Nature</w:t>
      </w:r>
      <w:proofErr w:type="spellEnd"/>
      <w:r>
        <w:t xml:space="preserve"> Needs Half’ [26], together with an understanding that ecosystem processes and services of the scale needed to sustain the well-being of life on Earth require large wildlife populations and huge expanses of intact and restored habitat. ... Climate change adds a new dimension to the question of how much protected area coverage is needed to assure conservation of wild nature. Climate change is already reducing wildlife population sizes and forcing range shifts as conditions alter [28,29]. Protected areas counter such stresses by building up populations, and connectivity of populations and habitats is emerging as a key property in securing species persistence and resilience to rapid change [5]. Hence networked protected areas, especially where embedded within well-managed </w:t>
      </w:r>
      <w:proofErr w:type="spellStart"/>
      <w:r>
        <w:t>landor</w:t>
      </w:r>
      <w:proofErr w:type="spellEnd"/>
      <w:r>
        <w:t xml:space="preserve"> seascapes, provide crucial stepping stones to accommodate range shifts and, where no further movements are possible, refuges of last resort [5]. Analyses suggest that adequate levels of population viability and connectivity can be achieved only with marine protected area coverages of 30% or more [27]. ... [G]</w:t>
      </w:r>
      <w:proofErr w:type="spellStart"/>
      <w:r>
        <w:t>iven</w:t>
      </w:r>
      <w:proofErr w:type="spellEnd"/>
      <w:r>
        <w:t xml:space="preserve"> that many ecosystems are already degraded, ensuring continued provision of ecosystem services requires not only the precautionary protection of currently intact habitats, but also large-scale habitat restoration.</w:t>
      </w:r>
    </w:p>
    <w:p w:rsidR="006647DA" w:rsidRDefault="006647DA" w:rsidP="006647DA">
      <w:pPr>
        <w:ind w:left="1080"/>
      </w:pPr>
      <w:r>
        <w:t xml:space="preserve">Providing greater space for recovery of intact, vibrant nature is not altruistic conservation, but is, we argue, an indispensable act of self- preservation,  </w:t>
      </w:r>
      <w:proofErr w:type="spellStart"/>
      <w:r>
        <w:t>roducing</w:t>
      </w:r>
      <w:proofErr w:type="spellEnd"/>
      <w:r>
        <w:t xml:space="preserve"> a cascade of benefits that will help maintain the habitability of the biosphere as the climate changes, thereby securing the well-being of generations to come.</w:t>
      </w:r>
    </w:p>
    <w:p w:rsidR="006647DA" w:rsidRDefault="006647DA" w:rsidP="006647DA">
      <w:pPr>
        <w:ind w:left="360"/>
      </w:pPr>
      <w:r>
        <w:t xml:space="preserve">Roberts CM, O’Leary BC, Hawkins JP. 2020 Climate change mitigation and nature conservation both require higher protected area targets. Phil. Trans. R. Soc. B 375: 20190121. </w:t>
      </w:r>
      <w:hyperlink r:id="rId292" w:history="1">
        <w:r w:rsidRPr="00C55D76">
          <w:rPr>
            <w:rStyle w:val="Hyperlink"/>
          </w:rPr>
          <w:t>http://dx.doi.org/10.1098/rstb.2019.0121</w:t>
        </w:r>
      </w:hyperlink>
      <w:r>
        <w:t xml:space="preserve">. See also, Soto-Navarro C et al. 2020 Mapping co-benefits for carbon storage and biodiversity to inform conservation policy and action. Phil. Trans. R. Soc. B 375: 20190128. </w:t>
      </w:r>
      <w:hyperlink r:id="rId293" w:history="1">
        <w:r w:rsidRPr="00C55D76">
          <w:rPr>
            <w:rStyle w:val="Hyperlink"/>
          </w:rPr>
          <w:t>http://dx.doi.org/10.1098/rstb.2019.0128</w:t>
        </w:r>
      </w:hyperlink>
      <w:r>
        <w:t xml:space="preserve"> showing the congruence of high carbon value and high biodiversity value in PNW forests.</w:t>
      </w:r>
    </w:p>
    <w:p w:rsidR="006647DA" w:rsidRDefault="006647DA" w:rsidP="006647DA">
      <w:pPr>
        <w:ind w:left="360"/>
      </w:pPr>
    </w:p>
    <w:p w:rsidR="006647DA" w:rsidRPr="00D854CD" w:rsidRDefault="006647DA" w:rsidP="006647DA">
      <w:pPr>
        <w:ind w:left="360"/>
      </w:pPr>
      <w:r>
        <w:t>In 1994, several scientific societies submitted a report to Congress and the President recommending conservation of roadless areas larger than 1,000 acres. This report is describe by the Interior Columbia Ecosystem Management Project as a “Major Stud[y]</w:t>
      </w:r>
      <w:r w:rsidRPr="00360D53">
        <w:t xml:space="preserve"> of Eastside Ecosystems</w:t>
      </w:r>
      <w:r>
        <w:t xml:space="preserve"> </w:t>
      </w:r>
      <w:r w:rsidRPr="00360D53">
        <w:t>and Management</w:t>
      </w:r>
      <w:r>
        <w:t>.”</w:t>
      </w:r>
    </w:p>
    <w:p w:rsidR="006647DA" w:rsidRPr="00D854CD" w:rsidRDefault="006647DA" w:rsidP="006647DA">
      <w:pPr>
        <w:autoSpaceDE w:val="0"/>
        <w:autoSpaceDN w:val="0"/>
        <w:adjustRightInd w:val="0"/>
        <w:ind w:left="1439"/>
        <w:rPr>
          <w:color w:val="101010"/>
        </w:rPr>
      </w:pPr>
      <w:r w:rsidRPr="00D854CD">
        <w:rPr>
          <w:color w:val="272727"/>
        </w:rPr>
        <w:lastRenderedPageBreak/>
        <w:t xml:space="preserve">Because roads </w:t>
      </w:r>
      <w:r w:rsidRPr="00D854CD">
        <w:rPr>
          <w:color w:val="3F3F3F"/>
        </w:rPr>
        <w:t xml:space="preserve">crisscross so </w:t>
      </w:r>
      <w:r w:rsidRPr="00D854CD">
        <w:rPr>
          <w:color w:val="272727"/>
        </w:rPr>
        <w:t xml:space="preserve">many forested </w:t>
      </w:r>
      <w:r w:rsidRPr="00D854CD">
        <w:rPr>
          <w:color w:val="3F3F3F"/>
        </w:rPr>
        <w:t xml:space="preserve">areas </w:t>
      </w:r>
      <w:r w:rsidRPr="00D854CD">
        <w:rPr>
          <w:color w:val="272727"/>
        </w:rPr>
        <w:t xml:space="preserve">on the </w:t>
      </w:r>
      <w:r w:rsidRPr="00D854CD">
        <w:rPr>
          <w:color w:val="3F3F3F"/>
        </w:rPr>
        <w:t xml:space="preserve">Eastside, existing </w:t>
      </w:r>
      <w:r w:rsidRPr="00D854CD">
        <w:rPr>
          <w:color w:val="272727"/>
        </w:rPr>
        <w:t xml:space="preserve">roadless </w:t>
      </w:r>
      <w:r w:rsidRPr="00D854CD">
        <w:rPr>
          <w:color w:val="101010"/>
        </w:rPr>
        <w:t>region</w:t>
      </w:r>
      <w:r w:rsidRPr="00D854CD">
        <w:rPr>
          <w:color w:val="3F3F3F"/>
        </w:rPr>
        <w:t xml:space="preserve">s </w:t>
      </w:r>
      <w:r w:rsidRPr="00D854CD">
        <w:rPr>
          <w:color w:val="101010"/>
        </w:rPr>
        <w:t xml:space="preserve">have </w:t>
      </w:r>
      <w:r w:rsidRPr="00D854CD">
        <w:rPr>
          <w:color w:val="272727"/>
        </w:rPr>
        <w:t xml:space="preserve">enormous ecological value. … Although roads </w:t>
      </w:r>
      <w:r w:rsidRPr="00D854CD">
        <w:rPr>
          <w:color w:val="3F3F3F"/>
        </w:rPr>
        <w:t xml:space="preserve">were intended as </w:t>
      </w:r>
      <w:r w:rsidRPr="00D854CD">
        <w:rPr>
          <w:color w:val="272727"/>
        </w:rPr>
        <w:t xml:space="preserve">innocuous </w:t>
      </w:r>
      <w:r w:rsidRPr="00D854CD">
        <w:rPr>
          <w:color w:val="3F3F3F"/>
        </w:rPr>
        <w:t>corr</w:t>
      </w:r>
      <w:r w:rsidRPr="00D854CD">
        <w:rPr>
          <w:color w:val="101010"/>
        </w:rPr>
        <w:t>id</w:t>
      </w:r>
      <w:r w:rsidRPr="00D854CD">
        <w:rPr>
          <w:color w:val="3F3F3F"/>
        </w:rPr>
        <w:t xml:space="preserve">ors </w:t>
      </w:r>
      <w:r w:rsidRPr="00D854CD">
        <w:rPr>
          <w:color w:val="101010"/>
        </w:rPr>
        <w:t xml:space="preserve">to </w:t>
      </w:r>
      <w:r w:rsidRPr="00D854CD">
        <w:rPr>
          <w:color w:val="3F3F3F"/>
        </w:rPr>
        <w:t xml:space="preserve">ease </w:t>
      </w:r>
      <w:r w:rsidRPr="00D854CD">
        <w:rPr>
          <w:color w:val="272727"/>
        </w:rPr>
        <w:t xml:space="preserve">the </w:t>
      </w:r>
      <w:r w:rsidRPr="00D854CD">
        <w:rPr>
          <w:color w:val="101010"/>
        </w:rPr>
        <w:t>movem</w:t>
      </w:r>
      <w:r w:rsidRPr="00D854CD">
        <w:rPr>
          <w:color w:val="3F3F3F"/>
        </w:rPr>
        <w:t>ent o</w:t>
      </w:r>
      <w:r w:rsidRPr="00D854CD">
        <w:rPr>
          <w:color w:val="101010"/>
        </w:rPr>
        <w:t xml:space="preserve">f </w:t>
      </w:r>
      <w:r w:rsidRPr="00D854CD">
        <w:rPr>
          <w:color w:val="272727"/>
        </w:rPr>
        <w:t xml:space="preserve">humans </w:t>
      </w:r>
      <w:r w:rsidRPr="00D854CD">
        <w:rPr>
          <w:color w:val="3F3F3F"/>
        </w:rPr>
        <w:t xml:space="preserve">and </w:t>
      </w:r>
      <w:r w:rsidRPr="00D854CD">
        <w:rPr>
          <w:color w:val="272727"/>
        </w:rPr>
        <w:t xml:space="preserve">commodities across the </w:t>
      </w:r>
      <w:r w:rsidRPr="00D854CD">
        <w:rPr>
          <w:color w:val="101010"/>
        </w:rPr>
        <w:t>l</w:t>
      </w:r>
      <w:r w:rsidRPr="00D854CD">
        <w:rPr>
          <w:color w:val="3F3F3F"/>
        </w:rPr>
        <w:t>andsca</w:t>
      </w:r>
      <w:r w:rsidRPr="00D854CD">
        <w:rPr>
          <w:color w:val="101010"/>
        </w:rPr>
        <w:t>pe, th</w:t>
      </w:r>
      <w:r w:rsidRPr="00D854CD">
        <w:rPr>
          <w:color w:val="3F3F3F"/>
        </w:rPr>
        <w:t xml:space="preserve">ey </w:t>
      </w:r>
      <w:r w:rsidRPr="00D854CD">
        <w:rPr>
          <w:color w:val="101010"/>
        </w:rPr>
        <w:t xml:space="preserve">harm the </w:t>
      </w:r>
      <w:r w:rsidRPr="00D854CD">
        <w:rPr>
          <w:color w:val="272727"/>
        </w:rPr>
        <w:t xml:space="preserve">water, </w:t>
      </w:r>
      <w:r w:rsidRPr="00D854CD">
        <w:rPr>
          <w:color w:val="3F3F3F"/>
        </w:rPr>
        <w:t>soi</w:t>
      </w:r>
      <w:r w:rsidRPr="00D854CD">
        <w:rPr>
          <w:color w:val="101010"/>
        </w:rPr>
        <w:t>ls, pl</w:t>
      </w:r>
      <w:r w:rsidRPr="00D854CD">
        <w:rPr>
          <w:color w:val="3F3F3F"/>
        </w:rPr>
        <w:t xml:space="preserve">ants, </w:t>
      </w:r>
      <w:r w:rsidRPr="00D854CD">
        <w:rPr>
          <w:color w:val="272727"/>
        </w:rPr>
        <w:t xml:space="preserve">and animals in those </w:t>
      </w:r>
      <w:r w:rsidRPr="00D854CD">
        <w:rPr>
          <w:color w:val="101010"/>
        </w:rPr>
        <w:t>l</w:t>
      </w:r>
      <w:r w:rsidRPr="00D854CD">
        <w:rPr>
          <w:color w:val="3F3F3F"/>
        </w:rPr>
        <w:t>andsca</w:t>
      </w:r>
      <w:r w:rsidRPr="00D854CD">
        <w:rPr>
          <w:color w:val="101010"/>
        </w:rPr>
        <w:t>pes. [p 6]</w:t>
      </w:r>
    </w:p>
    <w:p w:rsidR="006647DA" w:rsidRPr="00D854CD" w:rsidRDefault="006647DA" w:rsidP="006647DA">
      <w:pPr>
        <w:ind w:left="1439"/>
        <w:rPr>
          <w:color w:val="101010"/>
        </w:rPr>
      </w:pPr>
      <w:r w:rsidRPr="00D854CD">
        <w:rPr>
          <w:color w:val="101010"/>
        </w:rPr>
        <w:t>…</w:t>
      </w:r>
    </w:p>
    <w:p w:rsidR="006647DA" w:rsidRPr="00D854CD" w:rsidRDefault="006647DA" w:rsidP="006647DA">
      <w:pPr>
        <w:autoSpaceDE w:val="0"/>
        <w:autoSpaceDN w:val="0"/>
        <w:adjustRightInd w:val="0"/>
        <w:ind w:left="1439"/>
        <w:rPr>
          <w:b/>
          <w:bCs/>
          <w:color w:val="060606"/>
        </w:rPr>
      </w:pPr>
      <w:r w:rsidRPr="00D854CD">
        <w:rPr>
          <w:b/>
          <w:bCs/>
          <w:color w:val="060606"/>
        </w:rPr>
        <w:t>4. Do not construct new roads or log within existing (1) roadless regions larger than 1000 acres or (2) roadless regions smaller than 1000 acres that are biologically significant.</w:t>
      </w:r>
    </w:p>
    <w:p w:rsidR="006647DA" w:rsidRPr="00D854CD" w:rsidRDefault="006647DA" w:rsidP="006647DA">
      <w:pPr>
        <w:autoSpaceDE w:val="0"/>
        <w:autoSpaceDN w:val="0"/>
        <w:adjustRightInd w:val="0"/>
        <w:ind w:left="1439"/>
        <w:rPr>
          <w:color w:val="060606"/>
        </w:rPr>
      </w:pPr>
      <w:r w:rsidRPr="00D854CD">
        <w:rPr>
          <w:color w:val="060606"/>
        </w:rPr>
        <w:t>Roadles</w:t>
      </w:r>
      <w:r w:rsidRPr="00D854CD">
        <w:rPr>
          <w:color w:val="222222"/>
        </w:rPr>
        <w:t xml:space="preserve">s </w:t>
      </w:r>
      <w:r w:rsidRPr="00D854CD">
        <w:rPr>
          <w:color w:val="060606"/>
        </w:rPr>
        <w:t>regions constitute the least-human-disturbed fore</w:t>
      </w:r>
      <w:r w:rsidRPr="00D854CD">
        <w:rPr>
          <w:color w:val="222222"/>
        </w:rPr>
        <w:t>s</w:t>
      </w:r>
      <w:r w:rsidRPr="00D854CD">
        <w:rPr>
          <w:color w:val="060606"/>
        </w:rPr>
        <w:t xml:space="preserve">t and </w:t>
      </w:r>
      <w:r w:rsidRPr="00D854CD">
        <w:rPr>
          <w:color w:val="222222"/>
        </w:rPr>
        <w:t>s</w:t>
      </w:r>
      <w:r w:rsidRPr="00D854CD">
        <w:rPr>
          <w:color w:val="060606"/>
        </w:rPr>
        <w:t>tream system</w:t>
      </w:r>
      <w:r w:rsidRPr="00D854CD">
        <w:rPr>
          <w:color w:val="222222"/>
        </w:rPr>
        <w:t>s</w:t>
      </w:r>
      <w:r w:rsidRPr="00D854CD">
        <w:rPr>
          <w:color w:val="060606"/>
        </w:rPr>
        <w:t>, the last r</w:t>
      </w:r>
      <w:r w:rsidRPr="00D854CD">
        <w:rPr>
          <w:color w:val="222222"/>
        </w:rPr>
        <w:t>es</w:t>
      </w:r>
      <w:r w:rsidRPr="00D854CD">
        <w:rPr>
          <w:color w:val="060606"/>
        </w:rPr>
        <w:t>ervoir</w:t>
      </w:r>
      <w:r w:rsidRPr="00D854CD">
        <w:rPr>
          <w:color w:val="222222"/>
        </w:rPr>
        <w:t xml:space="preserve">s </w:t>
      </w:r>
      <w:r w:rsidRPr="00D854CD">
        <w:rPr>
          <w:color w:val="060606"/>
        </w:rPr>
        <w:t>of ecological diversity, and the primary benchmarks for restoring ecological health and integrity</w:t>
      </w:r>
      <w:r w:rsidRPr="00D854CD">
        <w:rPr>
          <w:color w:val="3C3C3C"/>
        </w:rPr>
        <w:t xml:space="preserve">. </w:t>
      </w:r>
      <w:r w:rsidRPr="00D854CD">
        <w:rPr>
          <w:color w:val="060606"/>
        </w:rPr>
        <w:t>Roads fragment habitat; alter the hydrological properties of watersheds; discharge excessive sediment to stream</w:t>
      </w:r>
      <w:r w:rsidRPr="00D854CD">
        <w:rPr>
          <w:color w:val="222222"/>
        </w:rPr>
        <w:t>s</w:t>
      </w:r>
      <w:r w:rsidRPr="00D854CD">
        <w:rPr>
          <w:color w:val="060606"/>
        </w:rPr>
        <w:t>; increase human acces</w:t>
      </w:r>
      <w:r w:rsidRPr="00D854CD">
        <w:rPr>
          <w:color w:val="222222"/>
        </w:rPr>
        <w:t xml:space="preserve">s </w:t>
      </w:r>
      <w:r w:rsidRPr="00D854CD">
        <w:rPr>
          <w:color w:val="060606"/>
        </w:rPr>
        <w:t>and thus disturbance to forest animals; and influence the dispersal of plant</w:t>
      </w:r>
      <w:r w:rsidRPr="00D854CD">
        <w:rPr>
          <w:color w:val="222222"/>
        </w:rPr>
        <w:t xml:space="preserve">s </w:t>
      </w:r>
      <w:r w:rsidRPr="00D854CD">
        <w:rPr>
          <w:color w:val="060606"/>
        </w:rPr>
        <w:t>and animals</w:t>
      </w:r>
      <w:r w:rsidRPr="00D854CD">
        <w:rPr>
          <w:color w:val="222222"/>
        </w:rPr>
        <w:t xml:space="preserve">, </w:t>
      </w:r>
      <w:r w:rsidRPr="00D854CD">
        <w:rPr>
          <w:color w:val="060606"/>
        </w:rPr>
        <w:t>especially exotic species, across th</w:t>
      </w:r>
      <w:r w:rsidRPr="00D854CD">
        <w:rPr>
          <w:color w:val="222222"/>
        </w:rPr>
        <w:t xml:space="preserve">e </w:t>
      </w:r>
      <w:r w:rsidRPr="00D854CD">
        <w:rPr>
          <w:color w:val="060606"/>
        </w:rPr>
        <w:t>landscape. Because many forested areas in eastern Oregon and Washington are heavily disse</w:t>
      </w:r>
      <w:r w:rsidRPr="00D854CD">
        <w:rPr>
          <w:color w:val="222222"/>
        </w:rPr>
        <w:t>c</w:t>
      </w:r>
      <w:r w:rsidRPr="00D854CD">
        <w:rPr>
          <w:color w:val="060606"/>
        </w:rPr>
        <w:t>ted by road</w:t>
      </w:r>
      <w:r w:rsidRPr="00D854CD">
        <w:rPr>
          <w:color w:val="222222"/>
        </w:rPr>
        <w:t xml:space="preserve">s, </w:t>
      </w:r>
      <w:r w:rsidRPr="00D854CD">
        <w:rPr>
          <w:color w:val="060606"/>
        </w:rPr>
        <w:t>the ecological value of existing roadless regions is e</w:t>
      </w:r>
      <w:r w:rsidRPr="00D854CD">
        <w:rPr>
          <w:color w:val="222222"/>
        </w:rPr>
        <w:t>s</w:t>
      </w:r>
      <w:r w:rsidRPr="00D854CD">
        <w:rPr>
          <w:color w:val="060606"/>
        </w:rPr>
        <w:t>pecially high. [pp 8, 202]</w:t>
      </w:r>
    </w:p>
    <w:p w:rsidR="006647DA" w:rsidRPr="00D854CD" w:rsidRDefault="006647DA" w:rsidP="006647DA">
      <w:pPr>
        <w:ind w:left="1439"/>
        <w:rPr>
          <w:color w:val="060606"/>
        </w:rPr>
      </w:pPr>
      <w:r w:rsidRPr="00D854CD">
        <w:rPr>
          <w:color w:val="060606"/>
        </w:rPr>
        <w:t>…</w:t>
      </w:r>
    </w:p>
    <w:p w:rsidR="006647DA" w:rsidRPr="00D854CD" w:rsidRDefault="006647DA" w:rsidP="006647DA">
      <w:pPr>
        <w:autoSpaceDE w:val="0"/>
        <w:autoSpaceDN w:val="0"/>
        <w:adjustRightInd w:val="0"/>
        <w:ind w:left="1439"/>
        <w:rPr>
          <w:color w:val="0F0F0F"/>
        </w:rPr>
      </w:pPr>
      <w:r w:rsidRPr="00D854CD">
        <w:rPr>
          <w:color w:val="212121"/>
        </w:rPr>
        <w:t xml:space="preserve">Our </w:t>
      </w:r>
      <w:r w:rsidRPr="00D854CD">
        <w:rPr>
          <w:color w:val="393939"/>
        </w:rPr>
        <w:t>ana</w:t>
      </w:r>
      <w:r w:rsidRPr="00D854CD">
        <w:rPr>
          <w:color w:val="0D0D0D"/>
        </w:rPr>
        <w:t>lysi</w:t>
      </w:r>
      <w:r w:rsidRPr="00D854CD">
        <w:rPr>
          <w:color w:val="393939"/>
        </w:rPr>
        <w:t xml:space="preserve">s </w:t>
      </w:r>
      <w:r w:rsidRPr="00D854CD">
        <w:rPr>
          <w:color w:val="212121"/>
        </w:rPr>
        <w:t xml:space="preserve">defined a roadless </w:t>
      </w:r>
      <w:r w:rsidRPr="00D854CD">
        <w:rPr>
          <w:color w:val="202020"/>
        </w:rPr>
        <w:t xml:space="preserve">region </w:t>
      </w:r>
      <w:r w:rsidRPr="00D854CD">
        <w:rPr>
          <w:color w:val="0F0F0F"/>
        </w:rPr>
        <w:t>a</w:t>
      </w:r>
      <w:r w:rsidRPr="00D854CD">
        <w:rPr>
          <w:color w:val="3E3E3E"/>
        </w:rPr>
        <w:t xml:space="preserve">s </w:t>
      </w:r>
      <w:r w:rsidRPr="00D854CD">
        <w:rPr>
          <w:color w:val="202020"/>
        </w:rPr>
        <w:t xml:space="preserve">any </w:t>
      </w:r>
      <w:r w:rsidRPr="00D854CD">
        <w:rPr>
          <w:color w:val="0F0F0F"/>
        </w:rPr>
        <w:t>region wh</w:t>
      </w:r>
      <w:r w:rsidRPr="00D854CD">
        <w:rPr>
          <w:color w:val="2F2F2F"/>
        </w:rPr>
        <w:t>er</w:t>
      </w:r>
      <w:r w:rsidRPr="00D854CD">
        <w:rPr>
          <w:color w:val="0F0F0F"/>
        </w:rPr>
        <w:t xml:space="preserve">e </w:t>
      </w:r>
      <w:r w:rsidRPr="00D854CD">
        <w:rPr>
          <w:color w:val="3E3E3E"/>
        </w:rPr>
        <w:t>a</w:t>
      </w:r>
      <w:r w:rsidRPr="00D854CD">
        <w:rPr>
          <w:color w:val="0F0F0F"/>
        </w:rPr>
        <w:t xml:space="preserve">ll </w:t>
      </w:r>
      <w:r w:rsidRPr="00D854CD">
        <w:rPr>
          <w:color w:val="202020"/>
        </w:rPr>
        <w:t>points w</w:t>
      </w:r>
      <w:r w:rsidRPr="00D854CD">
        <w:rPr>
          <w:color w:val="3E3E3E"/>
        </w:rPr>
        <w:t>i</w:t>
      </w:r>
      <w:r w:rsidRPr="00D854CD">
        <w:rPr>
          <w:color w:val="202020"/>
        </w:rPr>
        <w:t xml:space="preserve">thin an </w:t>
      </w:r>
      <w:r w:rsidRPr="00D854CD">
        <w:rPr>
          <w:color w:val="0F0F0F"/>
        </w:rPr>
        <w:t>L</w:t>
      </w:r>
      <w:r w:rsidRPr="00D854CD">
        <w:rPr>
          <w:color w:val="2F2F2F"/>
        </w:rPr>
        <w:t xml:space="preserve">S/OG </w:t>
      </w:r>
      <w:r w:rsidRPr="00D854CD">
        <w:rPr>
          <w:color w:val="3E3E3E"/>
        </w:rPr>
        <w:t>s</w:t>
      </w:r>
      <w:r w:rsidRPr="00D854CD">
        <w:rPr>
          <w:color w:val="0F0F0F"/>
        </w:rPr>
        <w:t>ta</w:t>
      </w:r>
      <w:r w:rsidRPr="00D854CD">
        <w:rPr>
          <w:color w:val="2F2F2F"/>
        </w:rPr>
        <w:t xml:space="preserve">nd </w:t>
      </w:r>
      <w:r w:rsidRPr="00D854CD">
        <w:rPr>
          <w:color w:val="3E3E3E"/>
        </w:rPr>
        <w:t>we</w:t>
      </w:r>
      <w:r w:rsidRPr="00D854CD">
        <w:rPr>
          <w:color w:val="0F0F0F"/>
        </w:rPr>
        <w:t xml:space="preserve">re </w:t>
      </w:r>
      <w:r w:rsidRPr="00D854CD">
        <w:rPr>
          <w:color w:val="202020"/>
        </w:rPr>
        <w:t xml:space="preserve">at </w:t>
      </w:r>
      <w:r w:rsidRPr="00D854CD">
        <w:rPr>
          <w:color w:val="0F0F0F"/>
        </w:rPr>
        <w:t>l</w:t>
      </w:r>
      <w:r w:rsidRPr="00D854CD">
        <w:rPr>
          <w:color w:val="3E3E3E"/>
        </w:rPr>
        <w:t>e</w:t>
      </w:r>
      <w:r w:rsidRPr="00D854CD">
        <w:rPr>
          <w:color w:val="202020"/>
        </w:rPr>
        <w:t>a</w:t>
      </w:r>
      <w:r w:rsidRPr="00D854CD">
        <w:rPr>
          <w:color w:val="3E3E3E"/>
        </w:rPr>
        <w:t xml:space="preserve">st </w:t>
      </w:r>
      <w:r w:rsidRPr="00D854CD">
        <w:rPr>
          <w:color w:val="202020"/>
        </w:rPr>
        <w:t xml:space="preserve">100 meters from a </w:t>
      </w:r>
      <w:r w:rsidRPr="00D854CD">
        <w:rPr>
          <w:color w:val="2F2F2F"/>
        </w:rPr>
        <w:t>ro</w:t>
      </w:r>
      <w:r w:rsidRPr="00D854CD">
        <w:rPr>
          <w:color w:val="0F0F0F"/>
        </w:rPr>
        <w:t xml:space="preserve">ad </w:t>
      </w:r>
      <w:r w:rsidRPr="00D854CD">
        <w:rPr>
          <w:color w:val="202020"/>
        </w:rPr>
        <w:t xml:space="preserve">or </w:t>
      </w:r>
      <w:r w:rsidRPr="00D854CD">
        <w:rPr>
          <w:color w:val="2F2F2F"/>
        </w:rPr>
        <w:t>tr</w:t>
      </w:r>
      <w:r w:rsidRPr="00D854CD">
        <w:rPr>
          <w:color w:val="0F0F0F"/>
        </w:rPr>
        <w:t>ail.</w:t>
      </w:r>
    </w:p>
    <w:p w:rsidR="006647DA" w:rsidRPr="00D854CD" w:rsidRDefault="006647DA" w:rsidP="006647DA">
      <w:pPr>
        <w:ind w:left="1439"/>
        <w:rPr>
          <w:color w:val="0F0F0F"/>
        </w:rPr>
      </w:pPr>
      <w:r w:rsidRPr="00D854CD">
        <w:rPr>
          <w:color w:val="0F0F0F"/>
        </w:rPr>
        <w:t>…</w:t>
      </w:r>
    </w:p>
    <w:p w:rsidR="006647DA" w:rsidRPr="00D854CD" w:rsidRDefault="006647DA" w:rsidP="006647DA">
      <w:pPr>
        <w:autoSpaceDE w:val="0"/>
        <w:autoSpaceDN w:val="0"/>
        <w:adjustRightInd w:val="0"/>
        <w:ind w:left="1439"/>
        <w:rPr>
          <w:color w:val="383838"/>
        </w:rPr>
      </w:pPr>
      <w:r w:rsidRPr="00D854CD">
        <w:rPr>
          <w:color w:val="262626"/>
        </w:rPr>
        <w:t xml:space="preserve">What </w:t>
      </w:r>
      <w:r w:rsidRPr="00D854CD">
        <w:rPr>
          <w:color w:val="141414"/>
        </w:rPr>
        <w:t>remain</w:t>
      </w:r>
      <w:r w:rsidRPr="00D854CD">
        <w:rPr>
          <w:color w:val="383838"/>
        </w:rPr>
        <w:t xml:space="preserve">s </w:t>
      </w:r>
      <w:r w:rsidRPr="00D854CD">
        <w:rPr>
          <w:color w:val="262626"/>
        </w:rPr>
        <w:t xml:space="preserve">of </w:t>
      </w:r>
      <w:r w:rsidRPr="00D854CD">
        <w:rPr>
          <w:color w:val="141414"/>
        </w:rPr>
        <w:t>pond</w:t>
      </w:r>
      <w:r w:rsidRPr="00D854CD">
        <w:rPr>
          <w:color w:val="383838"/>
        </w:rPr>
        <w:t xml:space="preserve">erosa </w:t>
      </w:r>
      <w:r w:rsidRPr="00D854CD">
        <w:rPr>
          <w:color w:val="141414"/>
        </w:rPr>
        <w:t>pin</w:t>
      </w:r>
      <w:r w:rsidRPr="00D854CD">
        <w:rPr>
          <w:color w:val="383838"/>
        </w:rPr>
        <w:t>e a</w:t>
      </w:r>
      <w:r w:rsidRPr="00D854CD">
        <w:rPr>
          <w:color w:val="141414"/>
        </w:rPr>
        <w:t>nd Douglas fir LS</w:t>
      </w:r>
      <w:r w:rsidRPr="00D854CD">
        <w:rPr>
          <w:color w:val="383838"/>
        </w:rPr>
        <w:t>/O</w:t>
      </w:r>
      <w:r w:rsidRPr="00D854CD">
        <w:rPr>
          <w:color w:val="141414"/>
        </w:rPr>
        <w:t>G i</w:t>
      </w:r>
      <w:r w:rsidRPr="00D854CD">
        <w:rPr>
          <w:color w:val="383838"/>
        </w:rPr>
        <w:t xml:space="preserve">s </w:t>
      </w:r>
      <w:r w:rsidRPr="00D854CD">
        <w:rPr>
          <w:color w:val="262626"/>
        </w:rPr>
        <w:t xml:space="preserve">the </w:t>
      </w:r>
      <w:r w:rsidRPr="00D854CD">
        <w:rPr>
          <w:color w:val="141414"/>
        </w:rPr>
        <w:t>l</w:t>
      </w:r>
      <w:r w:rsidRPr="00D854CD">
        <w:rPr>
          <w:color w:val="383838"/>
        </w:rPr>
        <w:t>eas</w:t>
      </w:r>
      <w:r w:rsidRPr="00D854CD">
        <w:rPr>
          <w:color w:val="141414"/>
        </w:rPr>
        <w:t xml:space="preserve">t </w:t>
      </w:r>
      <w:r w:rsidRPr="00D854CD">
        <w:rPr>
          <w:color w:val="262626"/>
        </w:rPr>
        <w:t xml:space="preserve">protected </w:t>
      </w:r>
      <w:r w:rsidRPr="00D854CD">
        <w:rPr>
          <w:color w:val="141414"/>
        </w:rPr>
        <w:t>toda</w:t>
      </w:r>
      <w:r w:rsidRPr="00D854CD">
        <w:rPr>
          <w:color w:val="383838"/>
        </w:rPr>
        <w:t>y</w:t>
      </w:r>
      <w:r w:rsidRPr="00D854CD">
        <w:rPr>
          <w:color w:val="141414"/>
        </w:rPr>
        <w:t>. In the four nati</w:t>
      </w:r>
      <w:r w:rsidRPr="00D854CD">
        <w:rPr>
          <w:color w:val="383838"/>
        </w:rPr>
        <w:t>o</w:t>
      </w:r>
      <w:r w:rsidRPr="00D854CD">
        <w:rPr>
          <w:color w:val="141414"/>
        </w:rPr>
        <w:t xml:space="preserve">nal </w:t>
      </w:r>
      <w:r w:rsidRPr="00D854CD">
        <w:rPr>
          <w:color w:val="262626"/>
        </w:rPr>
        <w:t xml:space="preserve">forests </w:t>
      </w:r>
      <w:r w:rsidRPr="00D854CD">
        <w:rPr>
          <w:color w:val="383838"/>
        </w:rPr>
        <w:t>w</w:t>
      </w:r>
      <w:r w:rsidRPr="00D854CD">
        <w:rPr>
          <w:color w:val="141414"/>
        </w:rPr>
        <w:t xml:space="preserve">ithin the Blue </w:t>
      </w:r>
      <w:r w:rsidRPr="00D854CD">
        <w:rPr>
          <w:color w:val="262626"/>
        </w:rPr>
        <w:t xml:space="preserve">Mountains, </w:t>
      </w:r>
      <w:r w:rsidRPr="00D854CD">
        <w:rPr>
          <w:color w:val="383838"/>
        </w:rPr>
        <w:t xml:space="preserve">48% of </w:t>
      </w:r>
      <w:r w:rsidRPr="00D854CD">
        <w:rPr>
          <w:color w:val="262626"/>
        </w:rPr>
        <w:t xml:space="preserve">the </w:t>
      </w:r>
      <w:r w:rsidRPr="00D854CD">
        <w:rPr>
          <w:color w:val="141414"/>
        </w:rPr>
        <w:t>land ba</w:t>
      </w:r>
      <w:r w:rsidRPr="00D854CD">
        <w:rPr>
          <w:color w:val="383838"/>
        </w:rPr>
        <w:t xml:space="preserve">se </w:t>
      </w:r>
      <w:r w:rsidRPr="00D854CD">
        <w:rPr>
          <w:color w:val="141414"/>
        </w:rPr>
        <w:t xml:space="preserve">above </w:t>
      </w:r>
      <w:r w:rsidRPr="00D854CD">
        <w:rPr>
          <w:color w:val="262626"/>
        </w:rPr>
        <w:t xml:space="preserve">6000 </w:t>
      </w:r>
      <w:r w:rsidRPr="00D854CD">
        <w:rPr>
          <w:color w:val="141414"/>
        </w:rPr>
        <w:t>f</w:t>
      </w:r>
      <w:r w:rsidRPr="00D854CD">
        <w:rPr>
          <w:color w:val="383838"/>
        </w:rPr>
        <w:t>ee</w:t>
      </w:r>
      <w:r w:rsidRPr="00D854CD">
        <w:rPr>
          <w:color w:val="141414"/>
        </w:rPr>
        <w:t>t li</w:t>
      </w:r>
      <w:r w:rsidRPr="00D854CD">
        <w:rPr>
          <w:color w:val="383838"/>
        </w:rPr>
        <w:t xml:space="preserve">es </w:t>
      </w:r>
      <w:r w:rsidRPr="00D854CD">
        <w:rPr>
          <w:color w:val="141414"/>
        </w:rPr>
        <w:t xml:space="preserve">in </w:t>
      </w:r>
      <w:r w:rsidRPr="00D854CD">
        <w:rPr>
          <w:color w:val="383838"/>
        </w:rPr>
        <w:t>w</w:t>
      </w:r>
      <w:r w:rsidRPr="00D854CD">
        <w:rPr>
          <w:color w:val="141414"/>
        </w:rPr>
        <w:t>ild</w:t>
      </w:r>
      <w:r w:rsidRPr="00D854CD">
        <w:rPr>
          <w:color w:val="383838"/>
        </w:rPr>
        <w:t>e</w:t>
      </w:r>
      <w:r w:rsidRPr="00D854CD">
        <w:rPr>
          <w:color w:val="141414"/>
        </w:rPr>
        <w:t>rn</w:t>
      </w:r>
      <w:r w:rsidRPr="00D854CD">
        <w:rPr>
          <w:color w:val="383838"/>
        </w:rPr>
        <w:t xml:space="preserve">ess </w:t>
      </w:r>
      <w:r w:rsidRPr="00D854CD">
        <w:rPr>
          <w:color w:val="262626"/>
        </w:rPr>
        <w:t xml:space="preserve">areas, whereas only </w:t>
      </w:r>
      <w:r>
        <w:rPr>
          <w:color w:val="141414"/>
        </w:rPr>
        <w:t>10%</w:t>
      </w:r>
      <w:r w:rsidRPr="00D854CD">
        <w:rPr>
          <w:color w:val="383838"/>
        </w:rPr>
        <w:t xml:space="preserve"> </w:t>
      </w:r>
      <w:r w:rsidRPr="00D854CD">
        <w:rPr>
          <w:color w:val="262626"/>
        </w:rPr>
        <w:t xml:space="preserve">of </w:t>
      </w:r>
      <w:r w:rsidRPr="00D854CD">
        <w:rPr>
          <w:color w:val="383838"/>
        </w:rPr>
        <w:t>t</w:t>
      </w:r>
      <w:r w:rsidRPr="00D854CD">
        <w:rPr>
          <w:color w:val="141414"/>
        </w:rPr>
        <w:t>h</w:t>
      </w:r>
      <w:r w:rsidRPr="00D854CD">
        <w:rPr>
          <w:color w:val="383838"/>
        </w:rPr>
        <w:t xml:space="preserve">e </w:t>
      </w:r>
      <w:r w:rsidRPr="00D854CD">
        <w:rPr>
          <w:color w:val="141414"/>
        </w:rPr>
        <w:t xml:space="preserve">land below 6000 feet, </w:t>
      </w:r>
      <w:r w:rsidRPr="00D854CD">
        <w:rPr>
          <w:color w:val="383838"/>
        </w:rPr>
        <w:t>whe</w:t>
      </w:r>
      <w:r w:rsidRPr="00D854CD">
        <w:rPr>
          <w:color w:val="141414"/>
        </w:rPr>
        <w:t>r</w:t>
      </w:r>
      <w:r w:rsidRPr="00D854CD">
        <w:rPr>
          <w:color w:val="383838"/>
        </w:rPr>
        <w:t xml:space="preserve">e </w:t>
      </w:r>
      <w:r w:rsidRPr="00D854CD">
        <w:rPr>
          <w:color w:val="262626"/>
        </w:rPr>
        <w:t xml:space="preserve">ponderosa </w:t>
      </w:r>
      <w:r w:rsidRPr="00D854CD">
        <w:rPr>
          <w:color w:val="383838"/>
        </w:rPr>
        <w:t xml:space="preserve">pine </w:t>
      </w:r>
      <w:r w:rsidRPr="00D854CD">
        <w:rPr>
          <w:color w:val="262626"/>
        </w:rPr>
        <w:t xml:space="preserve">occurs, </w:t>
      </w:r>
      <w:r w:rsidRPr="00D854CD">
        <w:rPr>
          <w:color w:val="141414"/>
        </w:rPr>
        <w:t>recei</w:t>
      </w:r>
      <w:r w:rsidRPr="00D854CD">
        <w:rPr>
          <w:color w:val="383838"/>
        </w:rPr>
        <w:t>ves s</w:t>
      </w:r>
      <w:r w:rsidRPr="00D854CD">
        <w:rPr>
          <w:color w:val="141414"/>
        </w:rPr>
        <w:t>u</w:t>
      </w:r>
      <w:r w:rsidRPr="00D854CD">
        <w:rPr>
          <w:color w:val="383838"/>
        </w:rPr>
        <w:t xml:space="preserve">ch </w:t>
      </w:r>
      <w:r w:rsidRPr="00D854CD">
        <w:rPr>
          <w:color w:val="141414"/>
        </w:rPr>
        <w:t>pr</w:t>
      </w:r>
      <w:r w:rsidRPr="00D854CD">
        <w:rPr>
          <w:color w:val="383838"/>
        </w:rPr>
        <w:t>otect</w:t>
      </w:r>
      <w:r w:rsidRPr="00D854CD">
        <w:rPr>
          <w:color w:val="141414"/>
        </w:rPr>
        <w:t>i</w:t>
      </w:r>
      <w:r w:rsidRPr="00D854CD">
        <w:rPr>
          <w:color w:val="383838"/>
        </w:rPr>
        <w:t>on … [p 110]</w:t>
      </w:r>
    </w:p>
    <w:p w:rsidR="006647DA" w:rsidRPr="00D854CD" w:rsidRDefault="006647DA" w:rsidP="006647DA">
      <w:pPr>
        <w:autoSpaceDE w:val="0"/>
        <w:autoSpaceDN w:val="0"/>
        <w:adjustRightInd w:val="0"/>
        <w:ind w:left="1439"/>
        <w:rPr>
          <w:color w:val="383838"/>
        </w:rPr>
      </w:pPr>
    </w:p>
    <w:p w:rsidR="006647DA" w:rsidRPr="00D854CD" w:rsidRDefault="006647DA" w:rsidP="006647DA">
      <w:pPr>
        <w:autoSpaceDE w:val="0"/>
        <w:autoSpaceDN w:val="0"/>
        <w:adjustRightInd w:val="0"/>
        <w:ind w:left="1439"/>
        <w:rPr>
          <w:color w:val="383838"/>
        </w:rPr>
      </w:pPr>
      <w:r w:rsidRPr="00D854CD">
        <w:rPr>
          <w:color w:val="383838"/>
        </w:rPr>
        <w:t xml:space="preserve">… </w:t>
      </w:r>
      <w:r w:rsidRPr="00D854CD">
        <w:rPr>
          <w:color w:val="262626"/>
        </w:rPr>
        <w:t xml:space="preserve">Fifth, </w:t>
      </w:r>
      <w:r w:rsidRPr="00D854CD">
        <w:rPr>
          <w:color w:val="141414"/>
        </w:rPr>
        <w:t>road</w:t>
      </w:r>
      <w:r w:rsidRPr="00D854CD">
        <w:rPr>
          <w:color w:val="383838"/>
        </w:rPr>
        <w:t>s</w:t>
      </w:r>
      <w:r w:rsidRPr="00D854CD">
        <w:rPr>
          <w:color w:val="141414"/>
        </w:rPr>
        <w:t xml:space="preserve">, </w:t>
      </w:r>
      <w:r w:rsidRPr="00D854CD">
        <w:rPr>
          <w:color w:val="383838"/>
        </w:rPr>
        <w:t>w</w:t>
      </w:r>
      <w:r w:rsidRPr="00D854CD">
        <w:rPr>
          <w:color w:val="141414"/>
        </w:rPr>
        <w:t>ho</w:t>
      </w:r>
      <w:r w:rsidRPr="00D854CD">
        <w:rPr>
          <w:color w:val="383838"/>
        </w:rPr>
        <w:t xml:space="preserve">se </w:t>
      </w:r>
      <w:r w:rsidRPr="00D854CD">
        <w:rPr>
          <w:color w:val="141414"/>
        </w:rPr>
        <w:t>im</w:t>
      </w:r>
      <w:r w:rsidRPr="00D854CD">
        <w:rPr>
          <w:color w:val="383838"/>
        </w:rPr>
        <w:t>pact o</w:t>
      </w:r>
      <w:r w:rsidRPr="00D854CD">
        <w:rPr>
          <w:color w:val="141414"/>
        </w:rPr>
        <w:t xml:space="preserve">n </w:t>
      </w:r>
      <w:r w:rsidRPr="00D854CD">
        <w:rPr>
          <w:color w:val="383838"/>
        </w:rPr>
        <w:t>a</w:t>
      </w:r>
      <w:r w:rsidRPr="00D854CD">
        <w:rPr>
          <w:color w:val="141414"/>
        </w:rPr>
        <w:t>qu</w:t>
      </w:r>
      <w:r w:rsidRPr="00D854CD">
        <w:rPr>
          <w:color w:val="383838"/>
        </w:rPr>
        <w:t>a</w:t>
      </w:r>
      <w:r w:rsidRPr="00D854CD">
        <w:rPr>
          <w:color w:val="141414"/>
        </w:rPr>
        <w:t xml:space="preserve">tic </w:t>
      </w:r>
      <w:r w:rsidRPr="00D854CD">
        <w:rPr>
          <w:color w:val="383838"/>
        </w:rPr>
        <w:t>a</w:t>
      </w:r>
      <w:r w:rsidRPr="00D854CD">
        <w:rPr>
          <w:color w:val="141414"/>
        </w:rPr>
        <w:t>nd terre</w:t>
      </w:r>
      <w:r w:rsidRPr="00D854CD">
        <w:rPr>
          <w:color w:val="383838"/>
        </w:rPr>
        <w:t>s</w:t>
      </w:r>
      <w:r w:rsidRPr="00D854CD">
        <w:rPr>
          <w:color w:val="141414"/>
        </w:rPr>
        <w:t>trial r</w:t>
      </w:r>
      <w:r w:rsidRPr="00D854CD">
        <w:rPr>
          <w:color w:val="383838"/>
        </w:rPr>
        <w:t>eso</w:t>
      </w:r>
      <w:r w:rsidRPr="00D854CD">
        <w:rPr>
          <w:color w:val="141414"/>
        </w:rPr>
        <w:t>ur</w:t>
      </w:r>
      <w:r w:rsidRPr="00D854CD">
        <w:rPr>
          <w:color w:val="383838"/>
        </w:rPr>
        <w:t xml:space="preserve">ces </w:t>
      </w:r>
      <w:r w:rsidRPr="00D854CD">
        <w:rPr>
          <w:color w:val="141414"/>
        </w:rPr>
        <w:t>i</w:t>
      </w:r>
      <w:r w:rsidRPr="00D854CD">
        <w:rPr>
          <w:color w:val="383838"/>
        </w:rPr>
        <w:t xml:space="preserve">s </w:t>
      </w:r>
      <w:r w:rsidRPr="00D854CD">
        <w:rPr>
          <w:color w:val="262626"/>
        </w:rPr>
        <w:t xml:space="preserve">well </w:t>
      </w:r>
      <w:r w:rsidRPr="00D854CD">
        <w:rPr>
          <w:color w:val="141414"/>
        </w:rPr>
        <w:t>do</w:t>
      </w:r>
      <w:r w:rsidRPr="00D854CD">
        <w:rPr>
          <w:color w:val="383838"/>
        </w:rPr>
        <w:t>c</w:t>
      </w:r>
      <w:r w:rsidRPr="00D854CD">
        <w:rPr>
          <w:color w:val="141414"/>
        </w:rPr>
        <w:t xml:space="preserve">umented, are </w:t>
      </w:r>
      <w:r w:rsidRPr="00D854CD">
        <w:rPr>
          <w:color w:val="262626"/>
        </w:rPr>
        <w:t xml:space="preserve">widely distributed </w:t>
      </w:r>
      <w:r w:rsidRPr="00D854CD">
        <w:rPr>
          <w:color w:val="141414"/>
        </w:rPr>
        <w:t xml:space="preserve">in </w:t>
      </w:r>
      <w:r w:rsidRPr="00D854CD">
        <w:rPr>
          <w:color w:val="262626"/>
        </w:rPr>
        <w:t xml:space="preserve">eastside </w:t>
      </w:r>
      <w:r w:rsidRPr="00D854CD">
        <w:rPr>
          <w:color w:val="141414"/>
        </w:rPr>
        <w:t>fore</w:t>
      </w:r>
      <w:r w:rsidRPr="00D854CD">
        <w:rPr>
          <w:color w:val="383838"/>
        </w:rPr>
        <w:t>s</w:t>
      </w:r>
      <w:r w:rsidRPr="00D854CD">
        <w:rPr>
          <w:color w:val="141414"/>
        </w:rPr>
        <w:t>t</w:t>
      </w:r>
      <w:r w:rsidRPr="00D854CD">
        <w:rPr>
          <w:color w:val="383838"/>
        </w:rPr>
        <w:t xml:space="preserve">s. </w:t>
      </w:r>
      <w:r w:rsidRPr="00D854CD">
        <w:rPr>
          <w:color w:val="141414"/>
        </w:rPr>
        <w:t>Ro</w:t>
      </w:r>
      <w:r w:rsidRPr="00D854CD">
        <w:rPr>
          <w:color w:val="383838"/>
        </w:rPr>
        <w:t xml:space="preserve">ad </w:t>
      </w:r>
      <w:r w:rsidRPr="00D854CD">
        <w:rPr>
          <w:color w:val="262626"/>
        </w:rPr>
        <w:t xml:space="preserve">densities </w:t>
      </w:r>
      <w:r w:rsidRPr="00D854CD">
        <w:rPr>
          <w:color w:val="141414"/>
        </w:rPr>
        <w:t xml:space="preserve">in </w:t>
      </w:r>
      <w:r w:rsidRPr="00D854CD">
        <w:rPr>
          <w:color w:val="383838"/>
        </w:rPr>
        <w:t>wes</w:t>
      </w:r>
      <w:r w:rsidRPr="00D854CD">
        <w:rPr>
          <w:color w:val="141414"/>
        </w:rPr>
        <w:t>tern Colville</w:t>
      </w:r>
      <w:r w:rsidRPr="00D854CD">
        <w:rPr>
          <w:color w:val="383838"/>
        </w:rPr>
        <w:t xml:space="preserve">, </w:t>
      </w:r>
      <w:r w:rsidRPr="00D854CD">
        <w:rPr>
          <w:color w:val="262626"/>
        </w:rPr>
        <w:t xml:space="preserve">Winema, </w:t>
      </w:r>
      <w:r w:rsidRPr="00D854CD">
        <w:rPr>
          <w:color w:val="383838"/>
        </w:rPr>
        <w:t xml:space="preserve">and </w:t>
      </w:r>
      <w:proofErr w:type="spellStart"/>
      <w:r w:rsidRPr="00D854CD">
        <w:rPr>
          <w:color w:val="262626"/>
        </w:rPr>
        <w:t>Ochoco</w:t>
      </w:r>
      <w:proofErr w:type="spellEnd"/>
      <w:r w:rsidRPr="00D854CD">
        <w:rPr>
          <w:color w:val="262626"/>
        </w:rPr>
        <w:t xml:space="preserve"> </w:t>
      </w:r>
      <w:r w:rsidRPr="00D854CD">
        <w:rPr>
          <w:color w:val="141414"/>
        </w:rPr>
        <w:t>National Fore</w:t>
      </w:r>
      <w:r w:rsidRPr="00D854CD">
        <w:rPr>
          <w:color w:val="383838"/>
        </w:rPr>
        <w:t>s</w:t>
      </w:r>
      <w:r w:rsidRPr="00D854CD">
        <w:rPr>
          <w:color w:val="141414"/>
        </w:rPr>
        <w:t>t</w:t>
      </w:r>
      <w:r w:rsidRPr="00D854CD">
        <w:rPr>
          <w:color w:val="383838"/>
        </w:rPr>
        <w:t xml:space="preserve">s </w:t>
      </w:r>
      <w:r w:rsidRPr="00D854CD">
        <w:rPr>
          <w:color w:val="262626"/>
        </w:rPr>
        <w:t xml:space="preserve">average </w:t>
      </w:r>
      <w:r w:rsidRPr="00D854CD">
        <w:rPr>
          <w:color w:val="383838"/>
        </w:rPr>
        <w:t>2</w:t>
      </w:r>
      <w:r w:rsidRPr="00D854CD">
        <w:rPr>
          <w:color w:val="141414"/>
        </w:rPr>
        <w:t>.</w:t>
      </w:r>
      <w:r w:rsidRPr="00D854CD">
        <w:rPr>
          <w:color w:val="383838"/>
        </w:rPr>
        <w:t>5, 3</w:t>
      </w:r>
      <w:r w:rsidRPr="00D854CD">
        <w:rPr>
          <w:color w:val="141414"/>
        </w:rPr>
        <w:t>.5</w:t>
      </w:r>
      <w:r w:rsidRPr="00D854CD">
        <w:rPr>
          <w:color w:val="383838"/>
        </w:rPr>
        <w:t>, an</w:t>
      </w:r>
      <w:r w:rsidRPr="00D854CD">
        <w:rPr>
          <w:color w:val="141414"/>
        </w:rPr>
        <w:t>d 3.</w:t>
      </w:r>
      <w:r w:rsidRPr="00D854CD">
        <w:rPr>
          <w:color w:val="383838"/>
        </w:rPr>
        <w:t xml:space="preserve">7 </w:t>
      </w:r>
      <w:r w:rsidRPr="00D854CD">
        <w:rPr>
          <w:color w:val="141414"/>
        </w:rPr>
        <w:t xml:space="preserve">miles per </w:t>
      </w:r>
      <w:r w:rsidRPr="00D854CD">
        <w:rPr>
          <w:color w:val="262626"/>
        </w:rPr>
        <w:t xml:space="preserve">square </w:t>
      </w:r>
      <w:r w:rsidRPr="00D854CD">
        <w:rPr>
          <w:color w:val="141414"/>
        </w:rPr>
        <w:t>mil</w:t>
      </w:r>
      <w:r w:rsidRPr="00D854CD">
        <w:rPr>
          <w:color w:val="383838"/>
        </w:rPr>
        <w:t xml:space="preserve">e, </w:t>
      </w:r>
      <w:r w:rsidRPr="00D854CD">
        <w:rPr>
          <w:color w:val="262626"/>
        </w:rPr>
        <w:t xml:space="preserve">respectively. </w:t>
      </w:r>
      <w:r w:rsidRPr="00D854CD">
        <w:rPr>
          <w:color w:val="141414"/>
        </w:rPr>
        <w:t xml:space="preserve">Densities reach </w:t>
      </w:r>
      <w:r w:rsidRPr="00D854CD">
        <w:rPr>
          <w:color w:val="262626"/>
        </w:rPr>
        <w:t xml:space="preserve">8.8 </w:t>
      </w:r>
      <w:r w:rsidRPr="00D854CD">
        <w:rPr>
          <w:color w:val="383838"/>
        </w:rPr>
        <w:t>a</w:t>
      </w:r>
      <w:r w:rsidRPr="00D854CD">
        <w:rPr>
          <w:color w:val="141414"/>
        </w:rPr>
        <w:t>nd 11.</w:t>
      </w:r>
      <w:r w:rsidRPr="00D854CD">
        <w:rPr>
          <w:color w:val="383838"/>
        </w:rPr>
        <w:t xml:space="preserve">9 </w:t>
      </w:r>
      <w:r w:rsidRPr="00D854CD">
        <w:rPr>
          <w:color w:val="262626"/>
        </w:rPr>
        <w:t xml:space="preserve">miles </w:t>
      </w:r>
      <w:r w:rsidRPr="00D854CD">
        <w:rPr>
          <w:color w:val="141414"/>
        </w:rPr>
        <w:t>p</w:t>
      </w:r>
      <w:r w:rsidRPr="00D854CD">
        <w:rPr>
          <w:color w:val="383838"/>
        </w:rPr>
        <w:t>e</w:t>
      </w:r>
      <w:r w:rsidRPr="00D854CD">
        <w:rPr>
          <w:color w:val="141414"/>
        </w:rPr>
        <w:t xml:space="preserve">r </w:t>
      </w:r>
      <w:r w:rsidRPr="00D854CD">
        <w:rPr>
          <w:color w:val="383838"/>
        </w:rPr>
        <w:t>s</w:t>
      </w:r>
      <w:r w:rsidRPr="00D854CD">
        <w:rPr>
          <w:color w:val="141414"/>
        </w:rPr>
        <w:t xml:space="preserve">quare mile in </w:t>
      </w:r>
      <w:r w:rsidRPr="00D854CD">
        <w:rPr>
          <w:color w:val="262626"/>
        </w:rPr>
        <w:t xml:space="preserve">some watersheds. </w:t>
      </w:r>
      <w:r w:rsidRPr="00D854CD">
        <w:rPr>
          <w:color w:val="141414"/>
        </w:rPr>
        <w:t xml:space="preserve">In </w:t>
      </w:r>
      <w:r w:rsidRPr="00D854CD">
        <w:rPr>
          <w:color w:val="262626"/>
        </w:rPr>
        <w:t xml:space="preserve">the </w:t>
      </w:r>
      <w:r w:rsidRPr="00D854CD">
        <w:rPr>
          <w:color w:val="141414"/>
        </w:rPr>
        <w:t>national forests of Or</w:t>
      </w:r>
      <w:r w:rsidRPr="00D854CD">
        <w:rPr>
          <w:color w:val="383838"/>
        </w:rPr>
        <w:t xml:space="preserve">egon's </w:t>
      </w:r>
      <w:r w:rsidRPr="00D854CD">
        <w:rPr>
          <w:color w:val="262626"/>
        </w:rPr>
        <w:t xml:space="preserve">Blue </w:t>
      </w:r>
      <w:r w:rsidRPr="00D854CD">
        <w:rPr>
          <w:color w:val="141414"/>
        </w:rPr>
        <w:t xml:space="preserve">Mountains (Table </w:t>
      </w:r>
      <w:r w:rsidRPr="00D854CD">
        <w:rPr>
          <w:color w:val="262626"/>
        </w:rPr>
        <w:t xml:space="preserve">5.2), </w:t>
      </w:r>
      <w:r w:rsidRPr="00D854CD">
        <w:rPr>
          <w:color w:val="141414"/>
        </w:rPr>
        <w:t>l</w:t>
      </w:r>
      <w:r w:rsidRPr="00D854CD">
        <w:rPr>
          <w:color w:val="383838"/>
        </w:rPr>
        <w:t xml:space="preserve">ess </w:t>
      </w:r>
      <w:r w:rsidRPr="00D854CD">
        <w:rPr>
          <w:color w:val="141414"/>
        </w:rPr>
        <w:t>th</w:t>
      </w:r>
      <w:r w:rsidRPr="00D854CD">
        <w:rPr>
          <w:color w:val="383838"/>
        </w:rPr>
        <w:t xml:space="preserve">an </w:t>
      </w:r>
      <w:r w:rsidRPr="00D854CD">
        <w:rPr>
          <w:color w:val="141414"/>
        </w:rPr>
        <w:t xml:space="preserve">10% </w:t>
      </w:r>
      <w:r w:rsidRPr="00D854CD">
        <w:rPr>
          <w:color w:val="262626"/>
        </w:rPr>
        <w:t xml:space="preserve">of </w:t>
      </w:r>
      <w:r w:rsidRPr="00D854CD">
        <w:rPr>
          <w:color w:val="141414"/>
        </w:rPr>
        <w:t xml:space="preserve">roadless regions </w:t>
      </w:r>
      <w:r w:rsidRPr="00D854CD">
        <w:rPr>
          <w:color w:val="262626"/>
        </w:rPr>
        <w:t xml:space="preserve">on </w:t>
      </w:r>
      <w:r w:rsidRPr="00D854CD">
        <w:rPr>
          <w:color w:val="383838"/>
        </w:rPr>
        <w:t>s</w:t>
      </w:r>
      <w:r w:rsidRPr="00D854CD">
        <w:rPr>
          <w:color w:val="141414"/>
        </w:rPr>
        <w:t>lop</w:t>
      </w:r>
      <w:r w:rsidRPr="00D854CD">
        <w:rPr>
          <w:color w:val="383838"/>
        </w:rPr>
        <w:t xml:space="preserve">es steeper </w:t>
      </w:r>
      <w:r w:rsidRPr="00D854CD">
        <w:rPr>
          <w:color w:val="262626"/>
        </w:rPr>
        <w:t xml:space="preserve">than </w:t>
      </w:r>
      <w:r w:rsidRPr="00D854CD">
        <w:rPr>
          <w:color w:val="383838"/>
        </w:rPr>
        <w:t xml:space="preserve">60% </w:t>
      </w:r>
      <w:r w:rsidRPr="00D854CD">
        <w:rPr>
          <w:color w:val="262626"/>
        </w:rPr>
        <w:t xml:space="preserve">are </w:t>
      </w:r>
      <w:r w:rsidRPr="00D854CD">
        <w:rPr>
          <w:color w:val="141414"/>
        </w:rPr>
        <w:t>now prote</w:t>
      </w:r>
      <w:r w:rsidRPr="00D854CD">
        <w:rPr>
          <w:color w:val="383838"/>
        </w:rPr>
        <w:t>c</w:t>
      </w:r>
      <w:r w:rsidRPr="00D854CD">
        <w:rPr>
          <w:color w:val="141414"/>
        </w:rPr>
        <w:t>ted</w:t>
      </w:r>
      <w:r w:rsidRPr="00D854CD">
        <w:rPr>
          <w:color w:val="383838"/>
        </w:rPr>
        <w:t xml:space="preserve">, </w:t>
      </w:r>
      <w:r w:rsidRPr="00D854CD">
        <w:rPr>
          <w:color w:val="141414"/>
        </w:rPr>
        <w:t>l</w:t>
      </w:r>
      <w:r w:rsidRPr="00D854CD">
        <w:rPr>
          <w:color w:val="383838"/>
        </w:rPr>
        <w:t>ess t</w:t>
      </w:r>
      <w:r w:rsidRPr="00D854CD">
        <w:rPr>
          <w:color w:val="141414"/>
        </w:rPr>
        <w:t>h</w:t>
      </w:r>
      <w:r w:rsidRPr="00D854CD">
        <w:rPr>
          <w:color w:val="383838"/>
        </w:rPr>
        <w:t xml:space="preserve">an </w:t>
      </w:r>
      <w:r w:rsidRPr="00D854CD">
        <w:rPr>
          <w:color w:val="141414"/>
        </w:rPr>
        <w:t>1</w:t>
      </w:r>
      <w:r w:rsidRPr="00D854CD">
        <w:rPr>
          <w:color w:val="383838"/>
        </w:rPr>
        <w:t>5% o</w:t>
      </w:r>
      <w:r w:rsidRPr="00D854CD">
        <w:rPr>
          <w:color w:val="141414"/>
        </w:rPr>
        <w:t xml:space="preserve">n </w:t>
      </w:r>
      <w:r w:rsidRPr="00D854CD">
        <w:rPr>
          <w:color w:val="383838"/>
        </w:rPr>
        <w:t>s</w:t>
      </w:r>
      <w:r w:rsidRPr="00D854CD">
        <w:rPr>
          <w:color w:val="141414"/>
        </w:rPr>
        <w:t>lopes of 30-60</w:t>
      </w:r>
      <w:r w:rsidRPr="00D854CD">
        <w:rPr>
          <w:color w:val="383838"/>
        </w:rPr>
        <w:t xml:space="preserve">%. </w:t>
      </w:r>
      <w:r w:rsidRPr="00D854CD">
        <w:rPr>
          <w:color w:val="141414"/>
        </w:rPr>
        <w:t>Mor</w:t>
      </w:r>
      <w:r w:rsidRPr="00D854CD">
        <w:rPr>
          <w:color w:val="383838"/>
        </w:rPr>
        <w:t xml:space="preserve">eover, </w:t>
      </w:r>
      <w:r w:rsidRPr="00D854CD">
        <w:rPr>
          <w:color w:val="141414"/>
        </w:rPr>
        <w:t>ro</w:t>
      </w:r>
      <w:r w:rsidRPr="00D854CD">
        <w:rPr>
          <w:color w:val="383838"/>
        </w:rPr>
        <w:t>ad</w:t>
      </w:r>
      <w:r w:rsidRPr="00D854CD">
        <w:rPr>
          <w:color w:val="141414"/>
        </w:rPr>
        <w:t>l</w:t>
      </w:r>
      <w:r w:rsidRPr="00D854CD">
        <w:rPr>
          <w:color w:val="383838"/>
        </w:rPr>
        <w:t xml:space="preserve">ess </w:t>
      </w:r>
      <w:r w:rsidRPr="00D854CD">
        <w:rPr>
          <w:color w:val="262626"/>
        </w:rPr>
        <w:t xml:space="preserve">regions, </w:t>
      </w:r>
      <w:r w:rsidRPr="00D854CD">
        <w:rPr>
          <w:color w:val="141414"/>
        </w:rPr>
        <w:t>like L</w:t>
      </w:r>
      <w:r w:rsidRPr="00D854CD">
        <w:rPr>
          <w:color w:val="383838"/>
        </w:rPr>
        <w:t xml:space="preserve">S/OG </w:t>
      </w:r>
      <w:r w:rsidRPr="00D854CD">
        <w:rPr>
          <w:color w:val="262626"/>
        </w:rPr>
        <w:t xml:space="preserve">patches, </w:t>
      </w:r>
      <w:r w:rsidRPr="00D854CD">
        <w:rPr>
          <w:color w:val="383838"/>
        </w:rPr>
        <w:t>are exte</w:t>
      </w:r>
      <w:r w:rsidRPr="00D854CD">
        <w:rPr>
          <w:color w:val="141414"/>
        </w:rPr>
        <w:t xml:space="preserve">nsively </w:t>
      </w:r>
      <w:r w:rsidRPr="00D854CD">
        <w:rPr>
          <w:color w:val="262626"/>
        </w:rPr>
        <w:t xml:space="preserve">fragmented. In </w:t>
      </w:r>
      <w:r w:rsidRPr="00D854CD">
        <w:rPr>
          <w:color w:val="141414"/>
        </w:rPr>
        <w:t>north</w:t>
      </w:r>
      <w:r w:rsidRPr="00D854CD">
        <w:rPr>
          <w:color w:val="383838"/>
        </w:rPr>
        <w:t xml:space="preserve">ern </w:t>
      </w:r>
      <w:proofErr w:type="spellStart"/>
      <w:r w:rsidRPr="00D854CD">
        <w:rPr>
          <w:color w:val="262626"/>
        </w:rPr>
        <w:t>Ochoco</w:t>
      </w:r>
      <w:proofErr w:type="spellEnd"/>
      <w:r w:rsidRPr="00D854CD">
        <w:rPr>
          <w:color w:val="262626"/>
        </w:rPr>
        <w:t xml:space="preserve"> </w:t>
      </w:r>
      <w:r w:rsidRPr="00D854CD">
        <w:rPr>
          <w:color w:val="141414"/>
        </w:rPr>
        <w:t>Nation</w:t>
      </w:r>
      <w:r w:rsidRPr="00D854CD">
        <w:rPr>
          <w:color w:val="383838"/>
        </w:rPr>
        <w:t xml:space="preserve">al </w:t>
      </w:r>
      <w:r w:rsidRPr="00D854CD">
        <w:rPr>
          <w:color w:val="141414"/>
        </w:rPr>
        <w:t>Fore</w:t>
      </w:r>
      <w:r w:rsidRPr="00D854CD">
        <w:rPr>
          <w:color w:val="383838"/>
        </w:rPr>
        <w:t>s</w:t>
      </w:r>
      <w:r w:rsidRPr="00D854CD">
        <w:rPr>
          <w:color w:val="141414"/>
        </w:rPr>
        <w:t>t</w:t>
      </w:r>
      <w:r w:rsidRPr="00D854CD">
        <w:rPr>
          <w:color w:val="383838"/>
        </w:rPr>
        <w:t xml:space="preserve">, </w:t>
      </w:r>
      <w:r w:rsidRPr="00D854CD">
        <w:rPr>
          <w:color w:val="141414"/>
        </w:rPr>
        <w:t>n</w:t>
      </w:r>
      <w:r w:rsidRPr="00D854CD">
        <w:rPr>
          <w:color w:val="383838"/>
        </w:rPr>
        <w:t>early one-t</w:t>
      </w:r>
      <w:r w:rsidRPr="00D854CD">
        <w:rPr>
          <w:color w:val="141414"/>
        </w:rPr>
        <w:t xml:space="preserve">hird </w:t>
      </w:r>
      <w:r>
        <w:rPr>
          <w:color w:val="262626"/>
        </w:rPr>
        <w:t>(38</w:t>
      </w:r>
      <w:r w:rsidRPr="00D854CD">
        <w:rPr>
          <w:color w:val="383838"/>
        </w:rPr>
        <w:t>,88</w:t>
      </w:r>
      <w:r w:rsidRPr="00D854CD">
        <w:rPr>
          <w:color w:val="141414"/>
        </w:rPr>
        <w:t xml:space="preserve">2 </w:t>
      </w:r>
      <w:r w:rsidRPr="00D854CD">
        <w:rPr>
          <w:color w:val="262626"/>
        </w:rPr>
        <w:t xml:space="preserve">acres) of </w:t>
      </w:r>
      <w:r w:rsidRPr="00D854CD">
        <w:rPr>
          <w:color w:val="141414"/>
        </w:rPr>
        <w:t>1</w:t>
      </w:r>
      <w:r w:rsidRPr="00D854CD">
        <w:rPr>
          <w:color w:val="383838"/>
        </w:rPr>
        <w:t>28,</w:t>
      </w:r>
      <w:r w:rsidRPr="00D854CD">
        <w:rPr>
          <w:color w:val="141414"/>
        </w:rPr>
        <w:t xml:space="preserve">140 </w:t>
      </w:r>
      <w:r w:rsidRPr="00D854CD">
        <w:rPr>
          <w:color w:val="383838"/>
        </w:rPr>
        <w:t xml:space="preserve">acres of </w:t>
      </w:r>
      <w:r w:rsidRPr="00D854CD">
        <w:rPr>
          <w:color w:val="262626"/>
        </w:rPr>
        <w:t>ro</w:t>
      </w:r>
      <w:r w:rsidRPr="00D854CD">
        <w:rPr>
          <w:color w:val="505050"/>
        </w:rPr>
        <w:t>a</w:t>
      </w:r>
      <w:r w:rsidRPr="00D854CD">
        <w:rPr>
          <w:color w:val="262626"/>
        </w:rPr>
        <w:t xml:space="preserve">dless </w:t>
      </w:r>
      <w:r w:rsidRPr="00D854CD">
        <w:rPr>
          <w:color w:val="141414"/>
        </w:rPr>
        <w:t>regi</w:t>
      </w:r>
      <w:r w:rsidRPr="00D854CD">
        <w:rPr>
          <w:color w:val="383838"/>
        </w:rPr>
        <w:t>o</w:t>
      </w:r>
      <w:r w:rsidRPr="00D854CD">
        <w:rPr>
          <w:color w:val="141414"/>
        </w:rPr>
        <w:t xml:space="preserve">n </w:t>
      </w:r>
      <w:r w:rsidRPr="00D854CD">
        <w:rPr>
          <w:color w:val="383838"/>
        </w:rPr>
        <w:t>consis</w:t>
      </w:r>
      <w:r w:rsidRPr="00D854CD">
        <w:rPr>
          <w:color w:val="141414"/>
        </w:rPr>
        <w:t>t</w:t>
      </w:r>
      <w:r w:rsidRPr="00D854CD">
        <w:rPr>
          <w:color w:val="383838"/>
        </w:rPr>
        <w:t xml:space="preserve">s of </w:t>
      </w:r>
      <w:r w:rsidRPr="00D854CD">
        <w:rPr>
          <w:color w:val="262626"/>
        </w:rPr>
        <w:t xml:space="preserve">patches </w:t>
      </w:r>
      <w:r w:rsidRPr="00D854CD">
        <w:rPr>
          <w:color w:val="383838"/>
        </w:rPr>
        <w:t>sma</w:t>
      </w:r>
      <w:r w:rsidRPr="00D854CD">
        <w:rPr>
          <w:color w:val="141414"/>
        </w:rPr>
        <w:t xml:space="preserve">ller </w:t>
      </w:r>
      <w:r w:rsidRPr="00D854CD">
        <w:rPr>
          <w:color w:val="262626"/>
        </w:rPr>
        <w:t xml:space="preserve">than </w:t>
      </w:r>
      <w:r w:rsidRPr="00D854CD">
        <w:rPr>
          <w:color w:val="141414"/>
        </w:rPr>
        <w:t xml:space="preserve">1000 </w:t>
      </w:r>
      <w:r w:rsidRPr="00D854CD">
        <w:rPr>
          <w:color w:val="262626"/>
        </w:rPr>
        <w:t xml:space="preserve">acres. (RARE II </w:t>
      </w:r>
      <w:r w:rsidRPr="00D854CD">
        <w:rPr>
          <w:color w:val="505050"/>
        </w:rPr>
        <w:t>s</w:t>
      </w:r>
      <w:r w:rsidRPr="00D854CD">
        <w:rPr>
          <w:color w:val="141414"/>
        </w:rPr>
        <w:t>u</w:t>
      </w:r>
      <w:r w:rsidRPr="00D854CD">
        <w:rPr>
          <w:color w:val="383838"/>
        </w:rPr>
        <w:t>rv</w:t>
      </w:r>
      <w:r w:rsidRPr="00D854CD">
        <w:rPr>
          <w:color w:val="141414"/>
        </w:rPr>
        <w:t>e</w:t>
      </w:r>
      <w:r w:rsidRPr="00D854CD">
        <w:rPr>
          <w:color w:val="383838"/>
        </w:rPr>
        <w:t xml:space="preserve">ys </w:t>
      </w:r>
      <w:r w:rsidRPr="00D854CD">
        <w:rPr>
          <w:color w:val="262626"/>
        </w:rPr>
        <w:t xml:space="preserve">underestimated </w:t>
      </w:r>
      <w:r w:rsidRPr="00D854CD">
        <w:rPr>
          <w:color w:val="383838"/>
        </w:rPr>
        <w:t>to</w:t>
      </w:r>
      <w:r w:rsidRPr="00D854CD">
        <w:rPr>
          <w:color w:val="141414"/>
        </w:rPr>
        <w:t xml:space="preserve">tal </w:t>
      </w:r>
      <w:r w:rsidRPr="00D854CD">
        <w:rPr>
          <w:color w:val="262626"/>
        </w:rPr>
        <w:t>roadle</w:t>
      </w:r>
      <w:r w:rsidRPr="00D854CD">
        <w:rPr>
          <w:color w:val="505050"/>
        </w:rPr>
        <w:t xml:space="preserve">ss </w:t>
      </w:r>
      <w:r w:rsidRPr="00D854CD">
        <w:rPr>
          <w:color w:val="383838"/>
        </w:rPr>
        <w:t>a</w:t>
      </w:r>
      <w:r w:rsidRPr="00D854CD">
        <w:rPr>
          <w:color w:val="141414"/>
        </w:rPr>
        <w:t>r</w:t>
      </w:r>
      <w:r w:rsidRPr="00D854CD">
        <w:rPr>
          <w:color w:val="505050"/>
        </w:rPr>
        <w:t xml:space="preserve">ea </w:t>
      </w:r>
      <w:r w:rsidRPr="00D854CD">
        <w:rPr>
          <w:color w:val="141414"/>
        </w:rPr>
        <w:t xml:space="preserve">in this </w:t>
      </w:r>
      <w:r w:rsidRPr="00D854CD">
        <w:rPr>
          <w:color w:val="383838"/>
        </w:rPr>
        <w:t>reg</w:t>
      </w:r>
      <w:r>
        <w:rPr>
          <w:color w:val="141414"/>
        </w:rPr>
        <w:t>ion [45</w:t>
      </w:r>
      <w:r w:rsidRPr="00D854CD">
        <w:rPr>
          <w:color w:val="383838"/>
        </w:rPr>
        <w:t>,70</w:t>
      </w:r>
      <w:r w:rsidRPr="00D854CD">
        <w:rPr>
          <w:color w:val="141414"/>
        </w:rPr>
        <w:t xml:space="preserve">0 </w:t>
      </w:r>
      <w:r w:rsidRPr="00D854CD">
        <w:rPr>
          <w:color w:val="383838"/>
        </w:rPr>
        <w:t>ac</w:t>
      </w:r>
      <w:r w:rsidRPr="00D854CD">
        <w:rPr>
          <w:color w:val="141414"/>
        </w:rPr>
        <w:t>re</w:t>
      </w:r>
      <w:r w:rsidRPr="00D854CD">
        <w:rPr>
          <w:color w:val="383838"/>
        </w:rPr>
        <w:t>s</w:t>
      </w:r>
      <w:r w:rsidRPr="00D854CD">
        <w:rPr>
          <w:color w:val="141414"/>
        </w:rPr>
        <w:t>] b</w:t>
      </w:r>
      <w:r w:rsidRPr="00D854CD">
        <w:rPr>
          <w:color w:val="383838"/>
        </w:rPr>
        <w:t xml:space="preserve">ecause </w:t>
      </w:r>
      <w:r w:rsidRPr="00D854CD">
        <w:rPr>
          <w:color w:val="141414"/>
        </w:rPr>
        <w:t>th</w:t>
      </w:r>
      <w:r w:rsidRPr="00D854CD">
        <w:rPr>
          <w:color w:val="383838"/>
        </w:rPr>
        <w:t>ey co</w:t>
      </w:r>
      <w:r w:rsidRPr="00D854CD">
        <w:rPr>
          <w:color w:val="141414"/>
        </w:rPr>
        <w:t>n</w:t>
      </w:r>
      <w:r w:rsidRPr="00D854CD">
        <w:rPr>
          <w:color w:val="383838"/>
        </w:rPr>
        <w:t>s</w:t>
      </w:r>
      <w:r w:rsidRPr="00D854CD">
        <w:rPr>
          <w:color w:val="141414"/>
        </w:rPr>
        <w:t>id</w:t>
      </w:r>
      <w:r w:rsidRPr="00D854CD">
        <w:rPr>
          <w:color w:val="383838"/>
        </w:rPr>
        <w:t xml:space="preserve">ered </w:t>
      </w:r>
      <w:r w:rsidRPr="00D854CD">
        <w:rPr>
          <w:color w:val="262626"/>
        </w:rPr>
        <w:t xml:space="preserve">only areas </w:t>
      </w:r>
      <w:r w:rsidRPr="00D854CD">
        <w:rPr>
          <w:color w:val="141414"/>
        </w:rPr>
        <w:t>lar</w:t>
      </w:r>
      <w:r w:rsidRPr="00D854CD">
        <w:rPr>
          <w:color w:val="383838"/>
        </w:rPr>
        <w:t xml:space="preserve">ger </w:t>
      </w:r>
      <w:r w:rsidRPr="00D854CD">
        <w:rPr>
          <w:color w:val="262626"/>
        </w:rPr>
        <w:t xml:space="preserve">than </w:t>
      </w:r>
      <w:r w:rsidRPr="00D854CD">
        <w:rPr>
          <w:color w:val="383838"/>
        </w:rPr>
        <w:t>5</w:t>
      </w:r>
      <w:r w:rsidRPr="00D854CD">
        <w:rPr>
          <w:color w:val="141414"/>
        </w:rPr>
        <w:t xml:space="preserve">000 </w:t>
      </w:r>
      <w:r w:rsidRPr="00D854CD">
        <w:rPr>
          <w:color w:val="383838"/>
        </w:rPr>
        <w:t>ac</w:t>
      </w:r>
      <w:r w:rsidRPr="00D854CD">
        <w:rPr>
          <w:color w:val="141414"/>
        </w:rPr>
        <w:t>r</w:t>
      </w:r>
      <w:r w:rsidRPr="00D854CD">
        <w:rPr>
          <w:color w:val="383838"/>
        </w:rPr>
        <w:t>es.) [p 110]</w:t>
      </w:r>
    </w:p>
    <w:p w:rsidR="006647DA" w:rsidRPr="00D854CD" w:rsidRDefault="006647DA" w:rsidP="006647DA">
      <w:pPr>
        <w:ind w:left="1439"/>
        <w:rPr>
          <w:color w:val="383838"/>
        </w:rPr>
      </w:pPr>
      <w:r w:rsidRPr="00D854CD">
        <w:rPr>
          <w:color w:val="383838"/>
        </w:rPr>
        <w:lastRenderedPageBreak/>
        <w:t>…</w:t>
      </w:r>
    </w:p>
    <w:p w:rsidR="006647DA" w:rsidRPr="00D854CD" w:rsidRDefault="006647DA" w:rsidP="006647DA">
      <w:pPr>
        <w:autoSpaceDE w:val="0"/>
        <w:autoSpaceDN w:val="0"/>
        <w:adjustRightInd w:val="0"/>
        <w:ind w:left="1439"/>
        <w:rPr>
          <w:color w:val="111111"/>
        </w:rPr>
      </w:pPr>
      <w:r w:rsidRPr="00D854CD">
        <w:rPr>
          <w:color w:val="111111"/>
        </w:rPr>
        <w:t>CONCLUSIONS</w:t>
      </w:r>
    </w:p>
    <w:p w:rsidR="006647DA" w:rsidRPr="00D854CD" w:rsidRDefault="006647DA" w:rsidP="006647DA">
      <w:pPr>
        <w:autoSpaceDE w:val="0"/>
        <w:autoSpaceDN w:val="0"/>
        <w:adjustRightInd w:val="0"/>
        <w:ind w:left="1439"/>
        <w:rPr>
          <w:color w:val="111111"/>
        </w:rPr>
      </w:pPr>
      <w:r w:rsidRPr="00D854CD">
        <w:rPr>
          <w:color w:val="222222"/>
        </w:rPr>
        <w:t xml:space="preserve">Watersheds </w:t>
      </w:r>
      <w:r w:rsidRPr="00D854CD">
        <w:rPr>
          <w:color w:val="111111"/>
        </w:rPr>
        <w:t>out</w:t>
      </w:r>
      <w:r w:rsidRPr="00D854CD">
        <w:rPr>
          <w:color w:val="353535"/>
        </w:rPr>
        <w:t>si</w:t>
      </w:r>
      <w:r w:rsidRPr="00D854CD">
        <w:rPr>
          <w:color w:val="111111"/>
        </w:rPr>
        <w:t>d</w:t>
      </w:r>
      <w:r w:rsidRPr="00D854CD">
        <w:rPr>
          <w:color w:val="353535"/>
        </w:rPr>
        <w:t xml:space="preserve">e </w:t>
      </w:r>
      <w:r w:rsidRPr="00D854CD">
        <w:rPr>
          <w:color w:val="222222"/>
        </w:rPr>
        <w:t xml:space="preserve">wilderness and roadless </w:t>
      </w:r>
      <w:r w:rsidRPr="00D854CD">
        <w:rPr>
          <w:color w:val="111111"/>
        </w:rPr>
        <w:t>re</w:t>
      </w:r>
      <w:r w:rsidRPr="00D854CD">
        <w:rPr>
          <w:color w:val="353535"/>
        </w:rPr>
        <w:t>g</w:t>
      </w:r>
      <w:r w:rsidRPr="00D854CD">
        <w:rPr>
          <w:color w:val="111111"/>
        </w:rPr>
        <w:t>ion</w:t>
      </w:r>
      <w:r w:rsidRPr="00D854CD">
        <w:rPr>
          <w:color w:val="353535"/>
        </w:rPr>
        <w:t xml:space="preserve">s </w:t>
      </w:r>
      <w:r w:rsidRPr="00D854CD">
        <w:rPr>
          <w:color w:val="111111"/>
        </w:rPr>
        <w:t xml:space="preserve">in </w:t>
      </w:r>
      <w:r w:rsidRPr="00D854CD">
        <w:rPr>
          <w:color w:val="222222"/>
        </w:rPr>
        <w:t xml:space="preserve">eastern </w:t>
      </w:r>
      <w:r w:rsidRPr="00D854CD">
        <w:rPr>
          <w:color w:val="353535"/>
        </w:rPr>
        <w:t>Or</w:t>
      </w:r>
      <w:r w:rsidRPr="00D854CD">
        <w:rPr>
          <w:color w:val="111111"/>
        </w:rPr>
        <w:t>eg</w:t>
      </w:r>
      <w:r w:rsidRPr="00D854CD">
        <w:rPr>
          <w:color w:val="353535"/>
        </w:rPr>
        <w:t>o</w:t>
      </w:r>
      <w:r w:rsidRPr="00D854CD">
        <w:rPr>
          <w:color w:val="111111"/>
        </w:rPr>
        <w:t xml:space="preserve">n </w:t>
      </w:r>
      <w:r w:rsidRPr="00D854CD">
        <w:rPr>
          <w:color w:val="222222"/>
        </w:rPr>
        <w:t xml:space="preserve">and </w:t>
      </w:r>
      <w:r w:rsidRPr="00D854CD">
        <w:rPr>
          <w:color w:val="353535"/>
        </w:rPr>
        <w:t>Was</w:t>
      </w:r>
      <w:r w:rsidRPr="00D854CD">
        <w:rPr>
          <w:color w:val="111111"/>
        </w:rPr>
        <w:t>hi</w:t>
      </w:r>
      <w:r w:rsidRPr="00D854CD">
        <w:rPr>
          <w:color w:val="353535"/>
        </w:rPr>
        <w:t>ng</w:t>
      </w:r>
      <w:r w:rsidRPr="00D854CD">
        <w:rPr>
          <w:color w:val="111111"/>
        </w:rPr>
        <w:t>t</w:t>
      </w:r>
      <w:r w:rsidRPr="00D854CD">
        <w:rPr>
          <w:color w:val="353535"/>
        </w:rPr>
        <w:t xml:space="preserve">on </w:t>
      </w:r>
      <w:r w:rsidRPr="00D854CD">
        <w:rPr>
          <w:color w:val="222222"/>
        </w:rPr>
        <w:t xml:space="preserve">are highly degraded. Without an </w:t>
      </w:r>
      <w:r w:rsidRPr="00D854CD">
        <w:rPr>
          <w:color w:val="353535"/>
        </w:rPr>
        <w:t xml:space="preserve">intensive </w:t>
      </w:r>
      <w:r w:rsidRPr="00D854CD">
        <w:rPr>
          <w:color w:val="111111"/>
        </w:rPr>
        <w:t>re</w:t>
      </w:r>
      <w:r w:rsidRPr="00D854CD">
        <w:rPr>
          <w:color w:val="353535"/>
        </w:rPr>
        <w:t xml:space="preserve">storation </w:t>
      </w:r>
      <w:r w:rsidRPr="00D854CD">
        <w:rPr>
          <w:color w:val="4C4C4C"/>
        </w:rPr>
        <w:t>e</w:t>
      </w:r>
      <w:r w:rsidRPr="00D854CD">
        <w:rPr>
          <w:color w:val="222222"/>
        </w:rPr>
        <w:t xml:space="preserve">ffort on </w:t>
      </w:r>
      <w:r w:rsidRPr="00D854CD">
        <w:rPr>
          <w:color w:val="111111"/>
        </w:rPr>
        <w:t>f</w:t>
      </w:r>
      <w:r w:rsidRPr="00D854CD">
        <w:rPr>
          <w:color w:val="353535"/>
        </w:rPr>
        <w:t>edera</w:t>
      </w:r>
      <w:r w:rsidRPr="00D854CD">
        <w:rPr>
          <w:color w:val="111111"/>
        </w:rPr>
        <w:t xml:space="preserve">l </w:t>
      </w:r>
      <w:r w:rsidRPr="00D854CD">
        <w:rPr>
          <w:color w:val="353535"/>
        </w:rPr>
        <w:t xml:space="preserve">and </w:t>
      </w:r>
      <w:r w:rsidRPr="00D854CD">
        <w:rPr>
          <w:color w:val="222222"/>
        </w:rPr>
        <w:t xml:space="preserve">private </w:t>
      </w:r>
      <w:r w:rsidRPr="00D854CD">
        <w:rPr>
          <w:color w:val="111111"/>
        </w:rPr>
        <w:t>l</w:t>
      </w:r>
      <w:r w:rsidRPr="00D854CD">
        <w:rPr>
          <w:color w:val="353535"/>
        </w:rPr>
        <w:t xml:space="preserve">ands, </w:t>
      </w:r>
      <w:r w:rsidRPr="00D854CD">
        <w:rPr>
          <w:color w:val="222222"/>
        </w:rPr>
        <w:t xml:space="preserve">many native aquatic </w:t>
      </w:r>
      <w:r w:rsidRPr="00D854CD">
        <w:rPr>
          <w:color w:val="353535"/>
        </w:rPr>
        <w:t>s</w:t>
      </w:r>
      <w:r w:rsidRPr="00D854CD">
        <w:rPr>
          <w:color w:val="111111"/>
        </w:rPr>
        <w:t>t</w:t>
      </w:r>
      <w:r w:rsidRPr="00D854CD">
        <w:rPr>
          <w:color w:val="353535"/>
        </w:rPr>
        <w:t xml:space="preserve">ocks and species risk </w:t>
      </w:r>
      <w:r w:rsidRPr="00D854CD">
        <w:rPr>
          <w:color w:val="111111"/>
        </w:rPr>
        <w:t>e</w:t>
      </w:r>
      <w:r w:rsidRPr="00D854CD">
        <w:rPr>
          <w:color w:val="353535"/>
        </w:rPr>
        <w:t>x</w:t>
      </w:r>
      <w:r w:rsidRPr="00D854CD">
        <w:rPr>
          <w:color w:val="111111"/>
        </w:rPr>
        <w:t>t</w:t>
      </w:r>
      <w:r w:rsidRPr="00D854CD">
        <w:rPr>
          <w:color w:val="353535"/>
        </w:rPr>
        <w:t>i</w:t>
      </w:r>
      <w:r w:rsidRPr="00D854CD">
        <w:rPr>
          <w:color w:val="111111"/>
        </w:rPr>
        <w:t>nction. [p 160]</w:t>
      </w:r>
    </w:p>
    <w:p w:rsidR="006647DA" w:rsidRPr="00D854CD" w:rsidRDefault="006647DA" w:rsidP="006647DA">
      <w:pPr>
        <w:ind w:left="1439"/>
        <w:rPr>
          <w:color w:val="111111"/>
        </w:rPr>
      </w:pPr>
      <w:r w:rsidRPr="00D854CD">
        <w:rPr>
          <w:color w:val="111111"/>
        </w:rPr>
        <w:t>…</w:t>
      </w:r>
    </w:p>
    <w:p w:rsidR="006647DA" w:rsidRPr="00D854CD" w:rsidRDefault="006647DA" w:rsidP="006647DA">
      <w:pPr>
        <w:autoSpaceDE w:val="0"/>
        <w:autoSpaceDN w:val="0"/>
        <w:adjustRightInd w:val="0"/>
        <w:ind w:left="1439"/>
        <w:rPr>
          <w:color w:val="434343"/>
        </w:rPr>
      </w:pPr>
      <w:r w:rsidRPr="00D854CD">
        <w:rPr>
          <w:color w:val="171717"/>
        </w:rPr>
        <w:t>Becau</w:t>
      </w:r>
      <w:r w:rsidRPr="00D854CD">
        <w:rPr>
          <w:color w:val="434343"/>
        </w:rPr>
        <w:t xml:space="preserve">se </w:t>
      </w:r>
      <w:r w:rsidRPr="00D854CD">
        <w:rPr>
          <w:color w:val="2D2D2D"/>
        </w:rPr>
        <w:t xml:space="preserve">the </w:t>
      </w:r>
      <w:r w:rsidRPr="00D854CD">
        <w:rPr>
          <w:color w:val="171717"/>
        </w:rPr>
        <w:t xml:space="preserve">distribution of </w:t>
      </w:r>
      <w:r w:rsidRPr="00D854CD">
        <w:rPr>
          <w:color w:val="2D2D2D"/>
        </w:rPr>
        <w:t xml:space="preserve">many native </w:t>
      </w:r>
      <w:r w:rsidRPr="00D854CD">
        <w:rPr>
          <w:color w:val="171717"/>
        </w:rPr>
        <w:t>fish</w:t>
      </w:r>
      <w:r w:rsidRPr="00D854CD">
        <w:rPr>
          <w:color w:val="434343"/>
        </w:rPr>
        <w:t xml:space="preserve">es </w:t>
      </w:r>
      <w:r w:rsidRPr="00D854CD">
        <w:rPr>
          <w:color w:val="171717"/>
        </w:rPr>
        <w:t xml:space="preserve">in </w:t>
      </w:r>
      <w:r w:rsidRPr="00D854CD">
        <w:rPr>
          <w:color w:val="2D2D2D"/>
        </w:rPr>
        <w:t xml:space="preserve">Oregon's </w:t>
      </w:r>
      <w:r w:rsidRPr="00D854CD">
        <w:rPr>
          <w:color w:val="171717"/>
        </w:rPr>
        <w:t>nationa</w:t>
      </w:r>
      <w:r w:rsidRPr="00D854CD">
        <w:rPr>
          <w:color w:val="434343"/>
        </w:rPr>
        <w:t xml:space="preserve">l </w:t>
      </w:r>
      <w:r w:rsidRPr="00D854CD">
        <w:rPr>
          <w:color w:val="171717"/>
        </w:rPr>
        <w:t>forest</w:t>
      </w:r>
      <w:r w:rsidRPr="00D854CD">
        <w:rPr>
          <w:color w:val="434343"/>
        </w:rPr>
        <w:t xml:space="preserve">s </w:t>
      </w:r>
      <w:r w:rsidRPr="00D854CD">
        <w:rPr>
          <w:color w:val="171717"/>
        </w:rPr>
        <w:t xml:space="preserve">has </w:t>
      </w:r>
      <w:r w:rsidRPr="00D854CD">
        <w:rPr>
          <w:color w:val="434343"/>
        </w:rPr>
        <w:t>re</w:t>
      </w:r>
      <w:r w:rsidRPr="00D854CD">
        <w:rPr>
          <w:color w:val="171717"/>
        </w:rPr>
        <w:t>ceded into steep headwater areas</w:t>
      </w:r>
      <w:r w:rsidRPr="00D854CD">
        <w:rPr>
          <w:color w:val="434343"/>
        </w:rPr>
        <w:t xml:space="preserve">, </w:t>
      </w:r>
      <w:r w:rsidRPr="00D854CD">
        <w:rPr>
          <w:color w:val="171717"/>
        </w:rPr>
        <w:t xml:space="preserve">USPS has </w:t>
      </w:r>
      <w:r w:rsidRPr="00D854CD">
        <w:rPr>
          <w:color w:val="2D2D2D"/>
        </w:rPr>
        <w:t xml:space="preserve">a </w:t>
      </w:r>
      <w:r w:rsidRPr="00D854CD">
        <w:rPr>
          <w:color w:val="171717"/>
        </w:rPr>
        <w:t xml:space="preserve">vital role in </w:t>
      </w:r>
      <w:r w:rsidRPr="00D854CD">
        <w:rPr>
          <w:color w:val="2D2D2D"/>
        </w:rPr>
        <w:t xml:space="preserve">protecting </w:t>
      </w:r>
      <w:r w:rsidRPr="00D854CD">
        <w:rPr>
          <w:color w:val="171717"/>
        </w:rPr>
        <w:t xml:space="preserve">the few </w:t>
      </w:r>
      <w:r w:rsidRPr="00D854CD">
        <w:rPr>
          <w:color w:val="2D2D2D"/>
        </w:rPr>
        <w:t xml:space="preserve">remaining watershed refugia and preventing further damage to </w:t>
      </w:r>
      <w:r w:rsidRPr="00D854CD">
        <w:rPr>
          <w:color w:val="434343"/>
        </w:rPr>
        <w:t>a</w:t>
      </w:r>
      <w:r w:rsidRPr="00D854CD">
        <w:rPr>
          <w:color w:val="171717"/>
        </w:rPr>
        <w:t>lread</w:t>
      </w:r>
      <w:r w:rsidRPr="00D854CD">
        <w:rPr>
          <w:color w:val="434343"/>
        </w:rPr>
        <w:t xml:space="preserve">y </w:t>
      </w:r>
      <w:r w:rsidRPr="00D854CD">
        <w:rPr>
          <w:color w:val="2D2D2D"/>
        </w:rPr>
        <w:t xml:space="preserve">degraded </w:t>
      </w:r>
      <w:r w:rsidRPr="00D854CD">
        <w:rPr>
          <w:color w:val="171717"/>
        </w:rPr>
        <w:t>habitat</w:t>
      </w:r>
      <w:r w:rsidRPr="00D854CD">
        <w:rPr>
          <w:color w:val="434343"/>
        </w:rPr>
        <w:t xml:space="preserve">s </w:t>
      </w:r>
      <w:r w:rsidRPr="00D854CD">
        <w:rPr>
          <w:color w:val="171717"/>
        </w:rPr>
        <w:t xml:space="preserve">downstream. </w:t>
      </w:r>
      <w:r w:rsidRPr="00D854CD">
        <w:rPr>
          <w:color w:val="2D2D2D"/>
        </w:rPr>
        <w:t xml:space="preserve">Critical </w:t>
      </w:r>
      <w:r w:rsidRPr="00D854CD">
        <w:rPr>
          <w:color w:val="171717"/>
        </w:rPr>
        <w:t xml:space="preserve">to </w:t>
      </w:r>
      <w:r w:rsidRPr="00D854CD">
        <w:rPr>
          <w:color w:val="2D2D2D"/>
        </w:rPr>
        <w:t xml:space="preserve">securing eastside </w:t>
      </w:r>
      <w:r w:rsidRPr="00D854CD">
        <w:rPr>
          <w:color w:val="171717"/>
        </w:rPr>
        <w:t xml:space="preserve">[aquatic diversity areas] ADAs </w:t>
      </w:r>
      <w:r w:rsidRPr="00D854CD">
        <w:rPr>
          <w:color w:val="2D2D2D"/>
        </w:rPr>
        <w:t xml:space="preserve">as aquatic refugia are </w:t>
      </w:r>
      <w:r w:rsidRPr="00D854CD">
        <w:rPr>
          <w:color w:val="434343"/>
        </w:rPr>
        <w:t>t</w:t>
      </w:r>
      <w:r w:rsidRPr="00D854CD">
        <w:rPr>
          <w:color w:val="171717"/>
        </w:rPr>
        <w:t xml:space="preserve">he </w:t>
      </w:r>
      <w:r w:rsidRPr="00D854CD">
        <w:rPr>
          <w:color w:val="2D2D2D"/>
        </w:rPr>
        <w:t xml:space="preserve">remaining </w:t>
      </w:r>
      <w:r w:rsidRPr="00D854CD">
        <w:rPr>
          <w:color w:val="171717"/>
        </w:rPr>
        <w:t>ro</w:t>
      </w:r>
      <w:r w:rsidRPr="00D854CD">
        <w:rPr>
          <w:color w:val="434343"/>
        </w:rPr>
        <w:t>a</w:t>
      </w:r>
      <w:r w:rsidRPr="00D854CD">
        <w:rPr>
          <w:color w:val="171717"/>
        </w:rPr>
        <w:t xml:space="preserve">dless </w:t>
      </w:r>
      <w:r w:rsidRPr="00D854CD">
        <w:rPr>
          <w:color w:val="2D2D2D"/>
        </w:rPr>
        <w:t xml:space="preserve">regions, </w:t>
      </w:r>
      <w:r w:rsidRPr="00D854CD">
        <w:rPr>
          <w:color w:val="171717"/>
        </w:rPr>
        <w:t xml:space="preserve">sources </w:t>
      </w:r>
      <w:r w:rsidRPr="00D854CD">
        <w:rPr>
          <w:color w:val="2D2D2D"/>
        </w:rPr>
        <w:t xml:space="preserve">of </w:t>
      </w:r>
      <w:r w:rsidRPr="00D854CD">
        <w:rPr>
          <w:color w:val="171717"/>
        </w:rPr>
        <w:t>large wood from LS/OG forest</w:t>
      </w:r>
      <w:r w:rsidRPr="00D854CD">
        <w:rPr>
          <w:color w:val="434343"/>
        </w:rPr>
        <w:t>s</w:t>
      </w:r>
      <w:r w:rsidRPr="00D854CD">
        <w:rPr>
          <w:color w:val="171717"/>
        </w:rPr>
        <w:t xml:space="preserve">, and the </w:t>
      </w:r>
      <w:r w:rsidRPr="00D854CD">
        <w:rPr>
          <w:color w:val="2D2D2D"/>
        </w:rPr>
        <w:t xml:space="preserve">integrity </w:t>
      </w:r>
      <w:r w:rsidRPr="00D854CD">
        <w:rPr>
          <w:color w:val="171717"/>
        </w:rPr>
        <w:t xml:space="preserve">of riparian </w:t>
      </w:r>
      <w:r w:rsidRPr="00D854CD">
        <w:rPr>
          <w:color w:val="2D2D2D"/>
        </w:rPr>
        <w:t xml:space="preserve">corridors on </w:t>
      </w:r>
      <w:r w:rsidRPr="00D854CD">
        <w:rPr>
          <w:color w:val="171717"/>
        </w:rPr>
        <w:t>n</w:t>
      </w:r>
      <w:r w:rsidRPr="00D854CD">
        <w:rPr>
          <w:color w:val="434343"/>
        </w:rPr>
        <w:t>a</w:t>
      </w:r>
      <w:r w:rsidRPr="00D854CD">
        <w:rPr>
          <w:color w:val="171717"/>
        </w:rPr>
        <w:t>tion</w:t>
      </w:r>
      <w:r w:rsidRPr="00D854CD">
        <w:rPr>
          <w:color w:val="434343"/>
        </w:rPr>
        <w:t>a</w:t>
      </w:r>
      <w:r w:rsidRPr="00D854CD">
        <w:rPr>
          <w:color w:val="171717"/>
        </w:rPr>
        <w:t>l fore</w:t>
      </w:r>
      <w:r w:rsidRPr="00D854CD">
        <w:rPr>
          <w:color w:val="434343"/>
        </w:rPr>
        <w:t>s</w:t>
      </w:r>
      <w:r w:rsidRPr="00D854CD">
        <w:rPr>
          <w:color w:val="171717"/>
        </w:rPr>
        <w:t>tland</w:t>
      </w:r>
      <w:r w:rsidRPr="00D854CD">
        <w:rPr>
          <w:color w:val="434343"/>
        </w:rPr>
        <w:t>s. [p 168]</w:t>
      </w:r>
    </w:p>
    <w:p w:rsidR="006647DA" w:rsidRPr="00D854CD" w:rsidRDefault="006647DA" w:rsidP="006647DA">
      <w:pPr>
        <w:ind w:left="1439"/>
        <w:rPr>
          <w:color w:val="434343"/>
        </w:rPr>
      </w:pPr>
      <w:r w:rsidRPr="00D854CD">
        <w:rPr>
          <w:color w:val="434343"/>
        </w:rPr>
        <w:t>…</w:t>
      </w:r>
    </w:p>
    <w:p w:rsidR="006647DA" w:rsidRPr="00D854CD" w:rsidRDefault="006647DA" w:rsidP="006647DA">
      <w:pPr>
        <w:autoSpaceDE w:val="0"/>
        <w:autoSpaceDN w:val="0"/>
        <w:adjustRightInd w:val="0"/>
        <w:ind w:left="1439"/>
        <w:rPr>
          <w:color w:val="0D0D0D"/>
        </w:rPr>
      </w:pPr>
      <w:r w:rsidRPr="00D854CD">
        <w:rPr>
          <w:color w:val="0D0D0D"/>
        </w:rPr>
        <w:t>7. High road densities harm many forms of wildlife.</w:t>
      </w:r>
    </w:p>
    <w:p w:rsidR="006647DA" w:rsidRPr="00D854CD" w:rsidRDefault="006647DA" w:rsidP="006647DA">
      <w:pPr>
        <w:autoSpaceDE w:val="0"/>
        <w:autoSpaceDN w:val="0"/>
        <w:adjustRightInd w:val="0"/>
        <w:ind w:left="1439"/>
      </w:pPr>
      <w:r w:rsidRPr="00D854CD">
        <w:rPr>
          <w:color w:val="0D0D0D"/>
        </w:rPr>
        <w:t xml:space="preserve">The </w:t>
      </w:r>
      <w:r w:rsidRPr="00D854CD">
        <w:rPr>
          <w:color w:val="1D1D1D"/>
        </w:rPr>
        <w:t xml:space="preserve">ecological integrity </w:t>
      </w:r>
      <w:r w:rsidRPr="00D854CD">
        <w:rPr>
          <w:color w:val="2E2E2E"/>
        </w:rPr>
        <w:t>of ex</w:t>
      </w:r>
      <w:r w:rsidRPr="00D854CD">
        <w:rPr>
          <w:color w:val="0D0D0D"/>
        </w:rPr>
        <w:t>i</w:t>
      </w:r>
      <w:r w:rsidRPr="00D854CD">
        <w:rPr>
          <w:color w:val="2E2E2E"/>
        </w:rPr>
        <w:t xml:space="preserve">sting </w:t>
      </w:r>
      <w:r w:rsidRPr="00D854CD">
        <w:rPr>
          <w:color w:val="1D1D1D"/>
        </w:rPr>
        <w:t xml:space="preserve">LS/OG </w:t>
      </w:r>
      <w:r w:rsidRPr="00D854CD">
        <w:rPr>
          <w:color w:val="2E2E2E"/>
        </w:rPr>
        <w:t>patc</w:t>
      </w:r>
      <w:r w:rsidRPr="00D854CD">
        <w:rPr>
          <w:color w:val="0D0D0D"/>
        </w:rPr>
        <w:t>h</w:t>
      </w:r>
      <w:r w:rsidRPr="00D854CD">
        <w:rPr>
          <w:color w:val="2E2E2E"/>
        </w:rPr>
        <w:t>es and oth</w:t>
      </w:r>
      <w:r w:rsidRPr="00D854CD">
        <w:rPr>
          <w:color w:val="0D0D0D"/>
        </w:rPr>
        <w:t>er r</w:t>
      </w:r>
      <w:r w:rsidRPr="00D854CD">
        <w:rPr>
          <w:color w:val="2E2E2E"/>
        </w:rPr>
        <w:t>oa</w:t>
      </w:r>
      <w:r w:rsidRPr="00D854CD">
        <w:rPr>
          <w:color w:val="0D0D0D"/>
        </w:rPr>
        <w:t>d</w:t>
      </w:r>
      <w:r w:rsidRPr="00D854CD">
        <w:rPr>
          <w:color w:val="2E2E2E"/>
        </w:rPr>
        <w:t xml:space="preserve">less </w:t>
      </w:r>
      <w:r w:rsidRPr="00D854CD">
        <w:rPr>
          <w:color w:val="1D1D1D"/>
        </w:rPr>
        <w:t xml:space="preserve">regions </w:t>
      </w:r>
      <w:r w:rsidRPr="00D854CD">
        <w:rPr>
          <w:color w:val="2E2E2E"/>
        </w:rPr>
        <w:t>ca</w:t>
      </w:r>
      <w:r w:rsidRPr="00D854CD">
        <w:rPr>
          <w:color w:val="0D0D0D"/>
        </w:rPr>
        <w:t xml:space="preserve">n </w:t>
      </w:r>
      <w:r w:rsidRPr="00D854CD">
        <w:rPr>
          <w:color w:val="1D1D1D"/>
        </w:rPr>
        <w:t xml:space="preserve">only </w:t>
      </w:r>
      <w:r w:rsidRPr="00D854CD">
        <w:rPr>
          <w:color w:val="0D0D0D"/>
        </w:rPr>
        <w:t xml:space="preserve">be </w:t>
      </w:r>
      <w:r w:rsidRPr="00D854CD">
        <w:rPr>
          <w:color w:val="1D1D1D"/>
        </w:rPr>
        <w:t xml:space="preserve">maintained </w:t>
      </w:r>
      <w:r w:rsidRPr="00D854CD">
        <w:rPr>
          <w:color w:val="0D0D0D"/>
        </w:rPr>
        <w:t>i</w:t>
      </w:r>
      <w:r w:rsidRPr="00D854CD">
        <w:rPr>
          <w:color w:val="2E2E2E"/>
        </w:rPr>
        <w:t xml:space="preserve">f </w:t>
      </w:r>
      <w:r w:rsidRPr="00D854CD">
        <w:rPr>
          <w:color w:val="1D1D1D"/>
        </w:rPr>
        <w:t xml:space="preserve">these </w:t>
      </w:r>
      <w:r w:rsidRPr="00D854CD">
        <w:rPr>
          <w:color w:val="2E2E2E"/>
        </w:rPr>
        <w:t>s</w:t>
      </w:r>
      <w:r w:rsidRPr="00D854CD">
        <w:rPr>
          <w:color w:val="0D0D0D"/>
        </w:rPr>
        <w:t xml:space="preserve">ites are not </w:t>
      </w:r>
      <w:r w:rsidRPr="00D854CD">
        <w:rPr>
          <w:color w:val="1D1D1D"/>
        </w:rPr>
        <w:t xml:space="preserve">disturbed </w:t>
      </w:r>
      <w:r w:rsidRPr="00D854CD">
        <w:rPr>
          <w:color w:val="0D0D0D"/>
        </w:rPr>
        <w:t>b</w:t>
      </w:r>
      <w:r w:rsidRPr="00D854CD">
        <w:rPr>
          <w:color w:val="2E2E2E"/>
        </w:rPr>
        <w:t xml:space="preserve">y </w:t>
      </w:r>
      <w:r w:rsidRPr="00D854CD">
        <w:rPr>
          <w:color w:val="0D0D0D"/>
        </w:rPr>
        <w:t xml:space="preserve">the </w:t>
      </w:r>
      <w:r w:rsidRPr="00D854CD">
        <w:rPr>
          <w:color w:val="1D1D1D"/>
        </w:rPr>
        <w:t xml:space="preserve">construction of roads. </w:t>
      </w:r>
      <w:r w:rsidRPr="00D854CD">
        <w:rPr>
          <w:color w:val="2E2E2E"/>
        </w:rPr>
        <w:t>Roadless regions serve as c</w:t>
      </w:r>
      <w:r w:rsidRPr="00D854CD">
        <w:rPr>
          <w:color w:val="0D0D0D"/>
        </w:rPr>
        <w:t>ri</w:t>
      </w:r>
      <w:r w:rsidRPr="00D854CD">
        <w:rPr>
          <w:color w:val="2E2E2E"/>
        </w:rPr>
        <w:t>tica</w:t>
      </w:r>
      <w:r w:rsidRPr="00D854CD">
        <w:rPr>
          <w:color w:val="0D0D0D"/>
        </w:rPr>
        <w:t>l re</w:t>
      </w:r>
      <w:r w:rsidRPr="00D854CD">
        <w:rPr>
          <w:color w:val="2E2E2E"/>
        </w:rPr>
        <w:t xml:space="preserve">fuges </w:t>
      </w:r>
      <w:r w:rsidRPr="00D854CD">
        <w:rPr>
          <w:color w:val="1D1D1D"/>
        </w:rPr>
        <w:t xml:space="preserve">for </w:t>
      </w:r>
      <w:r w:rsidRPr="00D854CD">
        <w:rPr>
          <w:color w:val="2E2E2E"/>
        </w:rPr>
        <w:t>terrestria</w:t>
      </w:r>
      <w:r w:rsidRPr="00D854CD">
        <w:rPr>
          <w:color w:val="0D0D0D"/>
        </w:rPr>
        <w:t xml:space="preserve">l </w:t>
      </w:r>
      <w:r w:rsidRPr="00D854CD">
        <w:rPr>
          <w:color w:val="2E2E2E"/>
        </w:rPr>
        <w:t>w</w:t>
      </w:r>
      <w:r w:rsidRPr="00D854CD">
        <w:rPr>
          <w:color w:val="0D0D0D"/>
        </w:rPr>
        <w:t>ildli</w:t>
      </w:r>
      <w:r w:rsidRPr="00D854CD">
        <w:rPr>
          <w:color w:val="2E2E2E"/>
        </w:rPr>
        <w:t>fe s</w:t>
      </w:r>
      <w:r w:rsidRPr="00D854CD">
        <w:rPr>
          <w:color w:val="0D0D0D"/>
        </w:rPr>
        <w:t>en</w:t>
      </w:r>
      <w:r w:rsidRPr="00D854CD">
        <w:rPr>
          <w:color w:val="2E2E2E"/>
        </w:rPr>
        <w:t xml:space="preserve">sitive </w:t>
      </w:r>
      <w:r w:rsidRPr="00D854CD">
        <w:rPr>
          <w:color w:val="1D1D1D"/>
        </w:rPr>
        <w:t xml:space="preserve">to </w:t>
      </w:r>
      <w:r w:rsidRPr="00D854CD">
        <w:rPr>
          <w:color w:val="0D0D0D"/>
        </w:rPr>
        <w:t>hum</w:t>
      </w:r>
      <w:r w:rsidRPr="00D854CD">
        <w:rPr>
          <w:color w:val="2E2E2E"/>
        </w:rPr>
        <w:t>a</w:t>
      </w:r>
      <w:r w:rsidRPr="00D854CD">
        <w:rPr>
          <w:color w:val="0D0D0D"/>
        </w:rPr>
        <w:t>n di</w:t>
      </w:r>
      <w:r w:rsidRPr="00D854CD">
        <w:rPr>
          <w:color w:val="2E2E2E"/>
        </w:rPr>
        <w:t>s</w:t>
      </w:r>
      <w:r w:rsidRPr="00D854CD">
        <w:rPr>
          <w:color w:val="0D0D0D"/>
        </w:rPr>
        <w:t>turban</w:t>
      </w:r>
      <w:r w:rsidRPr="00D854CD">
        <w:rPr>
          <w:color w:val="2E2E2E"/>
        </w:rPr>
        <w:t>ce</w:t>
      </w:r>
      <w:r w:rsidRPr="00D854CD">
        <w:rPr>
          <w:color w:val="0D0D0D"/>
        </w:rPr>
        <w:t>. R</w:t>
      </w:r>
      <w:r w:rsidRPr="00D854CD">
        <w:rPr>
          <w:color w:val="2E2E2E"/>
        </w:rPr>
        <w:t>oa</w:t>
      </w:r>
      <w:r w:rsidRPr="00D854CD">
        <w:rPr>
          <w:color w:val="0D0D0D"/>
        </w:rPr>
        <w:t>d d</w:t>
      </w:r>
      <w:r w:rsidRPr="00D854CD">
        <w:rPr>
          <w:color w:val="2E2E2E"/>
        </w:rPr>
        <w:t>ens</w:t>
      </w:r>
      <w:r w:rsidRPr="00D854CD">
        <w:rPr>
          <w:color w:val="0D0D0D"/>
        </w:rPr>
        <w:t xml:space="preserve">ities </w:t>
      </w:r>
      <w:r w:rsidRPr="00D854CD">
        <w:rPr>
          <w:color w:val="1D1D1D"/>
        </w:rPr>
        <w:t xml:space="preserve">in </w:t>
      </w:r>
      <w:r w:rsidRPr="00D854CD">
        <w:rPr>
          <w:color w:val="0D0D0D"/>
        </w:rPr>
        <w:t>L</w:t>
      </w:r>
      <w:r w:rsidRPr="00D854CD">
        <w:rPr>
          <w:color w:val="2E2E2E"/>
        </w:rPr>
        <w:t xml:space="preserve">S/OG </w:t>
      </w:r>
      <w:r w:rsidRPr="00D854CD">
        <w:rPr>
          <w:color w:val="1D1D1D"/>
        </w:rPr>
        <w:t>patches that already have road</w:t>
      </w:r>
      <w:r w:rsidRPr="00D854CD">
        <w:rPr>
          <w:color w:val="454545"/>
        </w:rPr>
        <w:t xml:space="preserve">s </w:t>
      </w:r>
      <w:r w:rsidRPr="00D854CD">
        <w:rPr>
          <w:color w:val="2E2E2E"/>
        </w:rPr>
        <w:t>s</w:t>
      </w:r>
      <w:r w:rsidRPr="00D854CD">
        <w:rPr>
          <w:color w:val="0D0D0D"/>
        </w:rPr>
        <w:t xml:space="preserve">hould </w:t>
      </w:r>
      <w:r w:rsidRPr="00D854CD">
        <w:rPr>
          <w:color w:val="1D1D1D"/>
        </w:rPr>
        <w:t xml:space="preserve">be </w:t>
      </w:r>
      <w:r w:rsidRPr="00D854CD">
        <w:rPr>
          <w:color w:val="2E2E2E"/>
        </w:rPr>
        <w:t xml:space="preserve">reduced </w:t>
      </w:r>
      <w:r w:rsidRPr="00D854CD">
        <w:rPr>
          <w:color w:val="1D1D1D"/>
        </w:rPr>
        <w:t xml:space="preserve">to </w:t>
      </w:r>
      <w:r w:rsidRPr="00D854CD">
        <w:rPr>
          <w:color w:val="0D0D0D"/>
        </w:rPr>
        <w:t>le</w:t>
      </w:r>
      <w:r w:rsidRPr="00D854CD">
        <w:rPr>
          <w:color w:val="2E2E2E"/>
        </w:rPr>
        <w:t>ss t</w:t>
      </w:r>
      <w:r w:rsidRPr="00D854CD">
        <w:rPr>
          <w:color w:val="0D0D0D"/>
        </w:rPr>
        <w:t xml:space="preserve">han </w:t>
      </w:r>
      <w:r w:rsidRPr="00D854CD">
        <w:rPr>
          <w:color w:val="1D1D1D"/>
        </w:rPr>
        <w:t>1 mi</w:t>
      </w:r>
      <w:r w:rsidRPr="00D854CD">
        <w:rPr>
          <w:color w:val="454545"/>
        </w:rPr>
        <w:t>/mi</w:t>
      </w:r>
      <w:r w:rsidRPr="00407CCD">
        <w:rPr>
          <w:color w:val="454545"/>
          <w:vertAlign w:val="superscript"/>
        </w:rPr>
        <w:t>2</w:t>
      </w:r>
      <w:r w:rsidRPr="00D854CD">
        <w:rPr>
          <w:color w:val="454545"/>
        </w:rPr>
        <w:t xml:space="preserve">. </w:t>
      </w:r>
      <w:r w:rsidRPr="00D854CD">
        <w:rPr>
          <w:color w:val="1D1D1D"/>
        </w:rPr>
        <w:t xml:space="preserve">Achieving this </w:t>
      </w:r>
      <w:r w:rsidRPr="00D854CD">
        <w:rPr>
          <w:color w:val="2E2E2E"/>
        </w:rPr>
        <w:t>goa</w:t>
      </w:r>
      <w:r w:rsidRPr="00D854CD">
        <w:rPr>
          <w:color w:val="0D0D0D"/>
        </w:rPr>
        <w:t>l i</w:t>
      </w:r>
      <w:r w:rsidRPr="00D854CD">
        <w:rPr>
          <w:color w:val="2E2E2E"/>
        </w:rPr>
        <w:t>s vita</w:t>
      </w:r>
      <w:r w:rsidRPr="00D854CD">
        <w:rPr>
          <w:color w:val="0D0D0D"/>
        </w:rPr>
        <w:t xml:space="preserve">l </w:t>
      </w:r>
      <w:r w:rsidRPr="00D854CD">
        <w:rPr>
          <w:color w:val="1D1D1D"/>
        </w:rPr>
        <w:t xml:space="preserve">to rehabilitation of eastside fisheries </w:t>
      </w:r>
      <w:r w:rsidRPr="00D854CD">
        <w:rPr>
          <w:color w:val="0D0D0D"/>
        </w:rPr>
        <w:t xml:space="preserve">and </w:t>
      </w:r>
      <w:r w:rsidRPr="00D854CD">
        <w:rPr>
          <w:color w:val="2E2E2E"/>
        </w:rPr>
        <w:t>te</w:t>
      </w:r>
      <w:r w:rsidRPr="00D854CD">
        <w:rPr>
          <w:color w:val="0D0D0D"/>
        </w:rPr>
        <w:t>rre</w:t>
      </w:r>
      <w:r w:rsidRPr="00D854CD">
        <w:rPr>
          <w:color w:val="2E2E2E"/>
        </w:rPr>
        <w:t>stria</w:t>
      </w:r>
      <w:r w:rsidRPr="00D854CD">
        <w:rPr>
          <w:color w:val="0D0D0D"/>
        </w:rPr>
        <w:t>l r</w:t>
      </w:r>
      <w:r w:rsidRPr="00D854CD">
        <w:rPr>
          <w:color w:val="2E2E2E"/>
        </w:rPr>
        <w:t>esources</w:t>
      </w:r>
      <w:r w:rsidRPr="00D854CD">
        <w:rPr>
          <w:color w:val="0D0D0D"/>
        </w:rPr>
        <w:t>. [p 197]</w:t>
      </w:r>
    </w:p>
    <w:p w:rsidR="006647DA" w:rsidRDefault="006647DA" w:rsidP="006647DA">
      <w:pPr>
        <w:ind w:left="721"/>
        <w:contextualSpacing/>
        <w:rPr>
          <w:rFonts w:eastAsia="Times New Roman"/>
        </w:rPr>
      </w:pPr>
      <w:proofErr w:type="spellStart"/>
      <w:r w:rsidRPr="002F268C">
        <w:rPr>
          <w:rFonts w:eastAsia="Times New Roman"/>
        </w:rPr>
        <w:t>Henjum</w:t>
      </w:r>
      <w:proofErr w:type="spellEnd"/>
      <w:r w:rsidRPr="002F268C">
        <w:rPr>
          <w:rFonts w:eastAsia="Times New Roman"/>
        </w:rPr>
        <w:t xml:space="preserve">, M.G., J.R. Karr, D.L. Bottom, D.A. Perry, J.C. </w:t>
      </w:r>
      <w:proofErr w:type="spellStart"/>
      <w:r w:rsidRPr="002F268C">
        <w:rPr>
          <w:rFonts w:eastAsia="Times New Roman"/>
        </w:rPr>
        <w:t>Bednarz</w:t>
      </w:r>
      <w:proofErr w:type="spellEnd"/>
      <w:r w:rsidRPr="002F268C">
        <w:rPr>
          <w:rFonts w:eastAsia="Times New Roman"/>
        </w:rPr>
        <w:t xml:space="preserve">, S.G. Wright, S.A. </w:t>
      </w:r>
      <w:proofErr w:type="spellStart"/>
      <w:r w:rsidRPr="002F268C">
        <w:rPr>
          <w:rFonts w:eastAsia="Times New Roman"/>
        </w:rPr>
        <w:t>Beckwitt</w:t>
      </w:r>
      <w:proofErr w:type="spellEnd"/>
      <w:r w:rsidRPr="002F268C">
        <w:rPr>
          <w:rFonts w:eastAsia="Times New Roman"/>
        </w:rPr>
        <w:t xml:space="preserve"> and E. </w:t>
      </w:r>
      <w:proofErr w:type="spellStart"/>
      <w:r w:rsidRPr="002F268C">
        <w:rPr>
          <w:rFonts w:eastAsia="Times New Roman"/>
        </w:rPr>
        <w:t>Beckwitt</w:t>
      </w:r>
      <w:proofErr w:type="spellEnd"/>
      <w:r w:rsidRPr="002F268C">
        <w:rPr>
          <w:rFonts w:eastAsia="Times New Roman"/>
        </w:rPr>
        <w:t>. 1994. Interim Protection for Late-Successional Forests, Fisheries, and Watersheds: National Forests East of the Cascade Crest, Oregon and Washington. A Report to the Congress and President of the United States. Eastside Forests Scientific Society Panel.</w:t>
      </w:r>
    </w:p>
    <w:p w:rsidR="006647DA" w:rsidRDefault="006647DA" w:rsidP="006647DA">
      <w:pPr>
        <w:ind w:left="721"/>
        <w:contextualSpacing/>
        <w:rPr>
          <w:rFonts w:eastAsia="Times New Roman"/>
        </w:rPr>
      </w:pPr>
    </w:p>
    <w:p w:rsidR="006647DA" w:rsidRPr="00D854CD" w:rsidRDefault="006647DA" w:rsidP="006647DA">
      <w:pPr>
        <w:ind w:left="721"/>
        <w:contextualSpacing/>
      </w:pPr>
      <w:r>
        <w:t>Rhodes et al (1994) prepared a report for the National Marine Fisheries Service and said:</w:t>
      </w:r>
    </w:p>
    <w:p w:rsidR="006647DA" w:rsidRPr="004F0CAE" w:rsidRDefault="006647DA" w:rsidP="006647DA">
      <w:pPr>
        <w:ind w:left="1441"/>
        <w:rPr>
          <w:rFonts w:eastAsia="Times New Roman"/>
          <w:b/>
        </w:rPr>
      </w:pPr>
      <w:r w:rsidRPr="004F0CAE">
        <w:rPr>
          <w:rFonts w:eastAsia="Times New Roman"/>
          <w:b/>
        </w:rPr>
        <w:t>ROADLESS RESERVES</w:t>
      </w:r>
    </w:p>
    <w:p w:rsidR="006647DA" w:rsidRPr="004F0CAE" w:rsidRDefault="006647DA" w:rsidP="006647DA">
      <w:pPr>
        <w:ind w:left="1441"/>
        <w:rPr>
          <w:rFonts w:eastAsia="Times New Roman"/>
        </w:rPr>
      </w:pPr>
      <w:r w:rsidRPr="004F0CAE">
        <w:rPr>
          <w:rFonts w:eastAsia="Times New Roman"/>
        </w:rPr>
        <w:t>Available information indicates that much of the Snake River Basin has been degraded.</w:t>
      </w:r>
      <w:r>
        <w:rPr>
          <w:rFonts w:eastAsia="Times New Roman"/>
        </w:rPr>
        <w:t xml:space="preserve"> </w:t>
      </w:r>
      <w:r w:rsidRPr="004F0CAE">
        <w:rPr>
          <w:rFonts w:eastAsia="Times New Roman"/>
        </w:rPr>
        <w:t>Existing roadless and wilderness areas provide the only high-quality habitats and islands of natural</w:t>
      </w:r>
      <w:r>
        <w:rPr>
          <w:rFonts w:eastAsia="Times New Roman"/>
        </w:rPr>
        <w:t xml:space="preserve"> </w:t>
      </w:r>
      <w:r w:rsidRPr="004F0CAE">
        <w:rPr>
          <w:rFonts w:eastAsia="Times New Roman"/>
        </w:rPr>
        <w:t>functioning systems left in the Snake River Basin. The extent of these areas is limited. It may not</w:t>
      </w:r>
      <w:r>
        <w:rPr>
          <w:rFonts w:eastAsia="Times New Roman"/>
        </w:rPr>
        <w:t xml:space="preserve"> </w:t>
      </w:r>
      <w:r w:rsidRPr="004F0CAE">
        <w:rPr>
          <w:rFonts w:eastAsia="Times New Roman"/>
        </w:rPr>
        <w:t>be possible to enter roadless systems without compromising their natural function and/or without</w:t>
      </w:r>
      <w:r>
        <w:rPr>
          <w:rFonts w:eastAsia="Times New Roman"/>
        </w:rPr>
        <w:t xml:space="preserve"> </w:t>
      </w:r>
      <w:r w:rsidRPr="004F0CAE">
        <w:rPr>
          <w:rFonts w:eastAsia="Times New Roman"/>
        </w:rPr>
        <w:t>degrading habitat conditions. Roadless, unlogged tracts form the cornerstones of habitat recovery</w:t>
      </w:r>
      <w:r>
        <w:rPr>
          <w:rFonts w:eastAsia="Times New Roman"/>
        </w:rPr>
        <w:t xml:space="preserve"> </w:t>
      </w:r>
      <w:r w:rsidRPr="004F0CAE">
        <w:rPr>
          <w:rFonts w:eastAsia="Times New Roman"/>
        </w:rPr>
        <w:t>efforts. Continued diminishment of areas functioning somewhat naturally increases the risk of failing</w:t>
      </w:r>
      <w:r>
        <w:rPr>
          <w:rFonts w:eastAsia="Times New Roman"/>
        </w:rPr>
        <w:t xml:space="preserve"> </w:t>
      </w:r>
      <w:r w:rsidRPr="004F0CAE">
        <w:rPr>
          <w:rFonts w:eastAsia="Times New Roman"/>
        </w:rPr>
        <w:t xml:space="preserve">to improve habitat conditions at scales ranging from the reach to the region. </w:t>
      </w:r>
    </w:p>
    <w:p w:rsidR="006647DA" w:rsidRDefault="006647DA" w:rsidP="006647DA">
      <w:pPr>
        <w:ind w:left="1441"/>
        <w:rPr>
          <w:rFonts w:eastAsia="Times New Roman"/>
          <w:b/>
        </w:rPr>
      </w:pPr>
    </w:p>
    <w:p w:rsidR="006647DA" w:rsidRDefault="006647DA" w:rsidP="006647DA">
      <w:pPr>
        <w:ind w:left="1441"/>
        <w:rPr>
          <w:rFonts w:eastAsia="Times New Roman"/>
        </w:rPr>
      </w:pPr>
      <w:r w:rsidRPr="004F0CAE">
        <w:rPr>
          <w:rFonts w:eastAsia="Times New Roman"/>
          <w:b/>
        </w:rPr>
        <w:lastRenderedPageBreak/>
        <w:t>Recommendation</w:t>
      </w:r>
      <w:r w:rsidRPr="004F0CAE">
        <w:rPr>
          <w:rFonts w:eastAsia="Times New Roman"/>
        </w:rPr>
        <w:t>: Given existing habitat degradation and uncertainties, it is prudent to</w:t>
      </w:r>
      <w:r>
        <w:rPr>
          <w:rFonts w:eastAsia="Times New Roman"/>
        </w:rPr>
        <w:t xml:space="preserve"> </w:t>
      </w:r>
      <w:r w:rsidRPr="004F0CAE">
        <w:rPr>
          <w:rFonts w:eastAsia="Times New Roman"/>
        </w:rPr>
        <w:t>require that most of the degraded habitat be improved prior to taking risks with the scarce areas</w:t>
      </w:r>
      <w:r>
        <w:rPr>
          <w:rFonts w:eastAsia="Times New Roman"/>
        </w:rPr>
        <w:t xml:space="preserve"> </w:t>
      </w:r>
      <w:r w:rsidRPr="004F0CAE">
        <w:rPr>
          <w:rFonts w:eastAsia="Times New Roman"/>
        </w:rPr>
        <w:t>having high quality habitat. We recommend that roadless tracts greater than 1000 acres should not</w:t>
      </w:r>
      <w:r>
        <w:rPr>
          <w:rFonts w:eastAsia="Times New Roman"/>
        </w:rPr>
        <w:t xml:space="preserve"> </w:t>
      </w:r>
      <w:r w:rsidRPr="004F0CAE">
        <w:rPr>
          <w:rFonts w:eastAsia="Times New Roman"/>
        </w:rPr>
        <w:t>entered, at least, until monitoring documents that habitat conditions in &gt;90% of managed watersheds</w:t>
      </w:r>
      <w:r>
        <w:rPr>
          <w:rFonts w:eastAsia="Times New Roman"/>
        </w:rPr>
        <w:t xml:space="preserve"> </w:t>
      </w:r>
      <w:r w:rsidRPr="004F0CAE">
        <w:rPr>
          <w:rFonts w:eastAsia="Times New Roman"/>
        </w:rPr>
        <w:t>either meet habitat standards or have exhibited statistically significant improvement over at least five</w:t>
      </w:r>
      <w:r>
        <w:rPr>
          <w:rFonts w:eastAsia="Times New Roman"/>
        </w:rPr>
        <w:t xml:space="preserve"> </w:t>
      </w:r>
      <w:r w:rsidRPr="004F0CAE">
        <w:rPr>
          <w:rFonts w:eastAsia="Times New Roman"/>
        </w:rPr>
        <w:t>years. Smaller roadless tracts may also have important ecological value. We recommend that</w:t>
      </w:r>
      <w:r>
        <w:rPr>
          <w:rFonts w:eastAsia="Times New Roman"/>
        </w:rPr>
        <w:t xml:space="preserve"> </w:t>
      </w:r>
      <w:r w:rsidRPr="004F0CAE">
        <w:rPr>
          <w:rFonts w:eastAsia="Times New Roman"/>
        </w:rPr>
        <w:t>smaller roadless tracts should not be disturbed unless it can be shown through peer-reviewed analysis</w:t>
      </w:r>
      <w:r>
        <w:rPr>
          <w:rFonts w:eastAsia="Times New Roman"/>
        </w:rPr>
        <w:t xml:space="preserve"> </w:t>
      </w:r>
      <w:r w:rsidRPr="004F0CAE">
        <w:rPr>
          <w:rFonts w:eastAsia="Times New Roman"/>
        </w:rPr>
        <w:t>that the disturbance will not affect habitat conditions, impede habitat recovery, or foreclose options</w:t>
      </w:r>
      <w:r>
        <w:rPr>
          <w:rFonts w:eastAsia="Times New Roman"/>
        </w:rPr>
        <w:t xml:space="preserve"> for habitat recovery. [p xxix]</w:t>
      </w:r>
    </w:p>
    <w:p w:rsidR="006647DA" w:rsidRDefault="006647DA" w:rsidP="006647DA">
      <w:pPr>
        <w:ind w:left="1441"/>
        <w:rPr>
          <w:rFonts w:eastAsia="Times New Roman"/>
        </w:rPr>
      </w:pPr>
      <w:r>
        <w:rPr>
          <w:rFonts w:eastAsia="Times New Roman"/>
        </w:rPr>
        <w:t>…</w:t>
      </w:r>
    </w:p>
    <w:p w:rsidR="006647DA" w:rsidRPr="00F2314E" w:rsidRDefault="006647DA" w:rsidP="006647DA">
      <w:pPr>
        <w:ind w:left="1441"/>
        <w:rPr>
          <w:rFonts w:eastAsia="Times New Roman"/>
          <w:b/>
        </w:rPr>
      </w:pPr>
      <w:r w:rsidRPr="00F2314E">
        <w:rPr>
          <w:rFonts w:eastAsia="Times New Roman"/>
          <w:b/>
        </w:rPr>
        <w:t>3.6 ROADLESS RESERVES</w:t>
      </w:r>
    </w:p>
    <w:p w:rsidR="006647DA" w:rsidRDefault="006647DA" w:rsidP="006647DA">
      <w:pPr>
        <w:ind w:left="1441"/>
        <w:rPr>
          <w:rFonts w:eastAsia="Times New Roman"/>
        </w:rPr>
      </w:pPr>
      <w:r w:rsidRPr="00F2314E">
        <w:rPr>
          <w:rFonts w:eastAsia="Times New Roman"/>
        </w:rPr>
        <w:t>3.6.1 Effects on salmon: Through a variety of mechanisms, the cumulative effects of</w:t>
      </w:r>
      <w:r>
        <w:rPr>
          <w:rFonts w:eastAsia="Times New Roman"/>
        </w:rPr>
        <w:t xml:space="preserve"> </w:t>
      </w:r>
      <w:r w:rsidRPr="00F2314E">
        <w:rPr>
          <w:rFonts w:eastAsia="Times New Roman"/>
        </w:rPr>
        <w:t>activities that disturb vegetation and soils can lead to increased levels of fine sediment, loss of LWD</w:t>
      </w:r>
      <w:r>
        <w:rPr>
          <w:rFonts w:eastAsia="Times New Roman"/>
        </w:rPr>
        <w:t xml:space="preserve"> </w:t>
      </w:r>
      <w:r w:rsidRPr="00F2314E">
        <w:rPr>
          <w:rFonts w:eastAsia="Times New Roman"/>
        </w:rPr>
        <w:t>and pool volumes, channel widening, loss of structural channel diversity, summer water temperature</w:t>
      </w:r>
      <w:r>
        <w:rPr>
          <w:rFonts w:eastAsia="Times New Roman"/>
        </w:rPr>
        <w:t xml:space="preserve"> </w:t>
      </w:r>
      <w:r w:rsidRPr="00F2314E">
        <w:rPr>
          <w:rFonts w:eastAsia="Times New Roman"/>
        </w:rPr>
        <w:t>elevation, and elevated peak flows. As discussed, these changes in habitat condition caused by</w:t>
      </w:r>
      <w:r>
        <w:rPr>
          <w:rFonts w:eastAsia="Times New Roman"/>
        </w:rPr>
        <w:t xml:space="preserve"> </w:t>
      </w:r>
      <w:r w:rsidRPr="00F2314E">
        <w:rPr>
          <w:rFonts w:eastAsia="Times New Roman"/>
        </w:rPr>
        <w:t>logging-related disturbance tend to reduce salmon survival and habitat productivity, especially when</w:t>
      </w:r>
      <w:r>
        <w:rPr>
          <w:rFonts w:eastAsia="Times New Roman"/>
        </w:rPr>
        <w:t xml:space="preserve"> </w:t>
      </w:r>
      <w:r w:rsidRPr="00F2314E">
        <w:rPr>
          <w:rFonts w:eastAsia="Times New Roman"/>
        </w:rPr>
        <w:t>combined</w:t>
      </w:r>
      <w:r>
        <w:rPr>
          <w:rFonts w:eastAsia="Times New Roman"/>
        </w:rPr>
        <w:t xml:space="preserve"> … [p 98]</w:t>
      </w:r>
    </w:p>
    <w:p w:rsidR="006647DA" w:rsidRDefault="006647DA" w:rsidP="006647DA">
      <w:pPr>
        <w:ind w:left="1441"/>
        <w:rPr>
          <w:rFonts w:eastAsia="Times New Roman"/>
        </w:rPr>
      </w:pPr>
      <w:r>
        <w:rPr>
          <w:rFonts w:eastAsia="Times New Roman"/>
        </w:rPr>
        <w:t>…</w:t>
      </w:r>
    </w:p>
    <w:p w:rsidR="006647DA" w:rsidRPr="00F2314E" w:rsidRDefault="006647DA" w:rsidP="006647DA">
      <w:pPr>
        <w:ind w:left="1441"/>
        <w:rPr>
          <w:rFonts w:eastAsia="Times New Roman"/>
        </w:rPr>
      </w:pPr>
      <w:r w:rsidRPr="00F2314E">
        <w:rPr>
          <w:rFonts w:eastAsia="Times New Roman"/>
        </w:rPr>
        <w:t>The consequences of entry into undisturbed systems are probably lowly reversible. Although</w:t>
      </w:r>
      <w:r>
        <w:rPr>
          <w:rFonts w:eastAsia="Times New Roman"/>
        </w:rPr>
        <w:t xml:space="preserve"> </w:t>
      </w:r>
      <w:r w:rsidRPr="00F2314E">
        <w:rPr>
          <w:rFonts w:eastAsia="Times New Roman"/>
        </w:rPr>
        <w:t>accelerated surface erosion may only persist for 6-10 years, hydrologic alteration may persist for</w:t>
      </w:r>
      <w:r>
        <w:rPr>
          <w:rFonts w:eastAsia="Times New Roman"/>
        </w:rPr>
        <w:t xml:space="preserve"> </w:t>
      </w:r>
      <w:r w:rsidRPr="00F2314E">
        <w:rPr>
          <w:rFonts w:eastAsia="Times New Roman"/>
        </w:rPr>
        <w:t>more than 20 years (Harr and Coffin, 1990). Accelerated erosion from roads, as well as other effects,</w:t>
      </w:r>
      <w:r>
        <w:rPr>
          <w:rFonts w:eastAsia="Times New Roman"/>
        </w:rPr>
        <w:t xml:space="preserve"> </w:t>
      </w:r>
      <w:r w:rsidRPr="00F2314E">
        <w:rPr>
          <w:rFonts w:eastAsia="Times New Roman"/>
        </w:rPr>
        <w:t>persist for as long as the roads exist, and then some. Even after obliteration, roads continue to erode</w:t>
      </w:r>
      <w:r>
        <w:rPr>
          <w:rFonts w:eastAsia="Times New Roman"/>
        </w:rPr>
        <w:t xml:space="preserve"> </w:t>
      </w:r>
      <w:r w:rsidRPr="00F2314E">
        <w:rPr>
          <w:rFonts w:eastAsia="Times New Roman"/>
        </w:rPr>
        <w:t>at levels far in excess of natural for several years (</w:t>
      </w:r>
      <w:proofErr w:type="spellStart"/>
      <w:r w:rsidRPr="00F2314E">
        <w:rPr>
          <w:rFonts w:eastAsia="Times New Roman"/>
        </w:rPr>
        <w:t>Potyondy</w:t>
      </w:r>
      <w:proofErr w:type="spellEnd"/>
      <w:r w:rsidRPr="00F2314E">
        <w:rPr>
          <w:rFonts w:eastAsia="Times New Roman"/>
        </w:rPr>
        <w:t xml:space="preserve"> et al., 1991). Functions provided by</w:t>
      </w:r>
      <w:r>
        <w:rPr>
          <w:rFonts w:eastAsia="Times New Roman"/>
        </w:rPr>
        <w:t xml:space="preserve"> </w:t>
      </w:r>
      <w:r w:rsidRPr="00F2314E">
        <w:rPr>
          <w:rFonts w:eastAsia="Times New Roman"/>
        </w:rPr>
        <w:t>large downed wood, such as terrestrial sediment storage, require more than 100 years after trees have</w:t>
      </w:r>
      <w:r>
        <w:rPr>
          <w:rFonts w:eastAsia="Times New Roman"/>
        </w:rPr>
        <w:t xml:space="preserve"> </w:t>
      </w:r>
      <w:r w:rsidRPr="00F2314E">
        <w:rPr>
          <w:rFonts w:eastAsia="Times New Roman"/>
        </w:rPr>
        <w:t>been removed for recruitment to be re-established. The prospects for recovery of channel</w:t>
      </w:r>
      <w:r>
        <w:rPr>
          <w:rFonts w:eastAsia="Times New Roman"/>
        </w:rPr>
        <w:t xml:space="preserve"> </w:t>
      </w:r>
      <w:r w:rsidRPr="00F2314E">
        <w:rPr>
          <w:rFonts w:eastAsia="Times New Roman"/>
        </w:rPr>
        <w:t>morphology and sediment cycling are extremely poor for steep headwater streams in non-cohesive</w:t>
      </w:r>
    </w:p>
    <w:p w:rsidR="006647DA" w:rsidRDefault="006647DA" w:rsidP="006647DA">
      <w:pPr>
        <w:ind w:left="1441"/>
        <w:rPr>
          <w:rFonts w:eastAsia="Times New Roman"/>
        </w:rPr>
      </w:pPr>
      <w:r w:rsidRPr="00F2314E">
        <w:rPr>
          <w:rFonts w:eastAsia="Times New Roman"/>
        </w:rPr>
        <w:t>soils that have been degraded, even if the cause of degradation is arrested (</w:t>
      </w:r>
      <w:proofErr w:type="spellStart"/>
      <w:r w:rsidRPr="00F2314E">
        <w:rPr>
          <w:rFonts w:eastAsia="Times New Roman"/>
        </w:rPr>
        <w:t>Rosgen</w:t>
      </w:r>
      <w:proofErr w:type="spellEnd"/>
      <w:r w:rsidRPr="00F2314E">
        <w:rPr>
          <w:rFonts w:eastAsia="Times New Roman"/>
        </w:rPr>
        <w:t>, 1993).</w:t>
      </w:r>
      <w:r>
        <w:rPr>
          <w:rFonts w:eastAsia="Times New Roman"/>
        </w:rPr>
        <w:t xml:space="preserve"> [p 99]</w:t>
      </w:r>
    </w:p>
    <w:p w:rsidR="006647DA" w:rsidRDefault="006647DA" w:rsidP="006647DA">
      <w:pPr>
        <w:ind w:left="1441"/>
        <w:rPr>
          <w:rFonts w:eastAsia="Times New Roman"/>
        </w:rPr>
      </w:pPr>
      <w:r>
        <w:rPr>
          <w:rFonts w:eastAsia="Times New Roman"/>
        </w:rPr>
        <w:t>…</w:t>
      </w:r>
    </w:p>
    <w:p w:rsidR="006647DA" w:rsidRDefault="006647DA" w:rsidP="006647DA">
      <w:pPr>
        <w:ind w:left="1441"/>
        <w:rPr>
          <w:rFonts w:eastAsia="Times New Roman"/>
        </w:rPr>
      </w:pPr>
      <w:r w:rsidRPr="00A33A1F">
        <w:rPr>
          <w:rFonts w:eastAsia="Times New Roman"/>
        </w:rPr>
        <w:t>Despite existing data, many have speculated that roadless areas can be entered without</w:t>
      </w:r>
      <w:r>
        <w:rPr>
          <w:rFonts w:eastAsia="Times New Roman"/>
        </w:rPr>
        <w:t xml:space="preserve"> </w:t>
      </w:r>
      <w:r w:rsidRPr="00A33A1F">
        <w:rPr>
          <w:rFonts w:eastAsia="Times New Roman"/>
        </w:rPr>
        <w:t>degrading habitat conditions via careful planning, avoidance of high risk areas such as riparian areas</w:t>
      </w:r>
      <w:r>
        <w:rPr>
          <w:rFonts w:eastAsia="Times New Roman"/>
        </w:rPr>
        <w:t xml:space="preserve"> </w:t>
      </w:r>
      <w:r w:rsidRPr="00A33A1F">
        <w:rPr>
          <w:rFonts w:eastAsia="Times New Roman"/>
        </w:rPr>
        <w:t>to the extent considered feasible, and implementation of "Best Management Practices" (BMPs).</w:t>
      </w:r>
      <w:r>
        <w:rPr>
          <w:rFonts w:eastAsia="Times New Roman"/>
        </w:rPr>
        <w:t xml:space="preserve"> </w:t>
      </w:r>
      <w:r w:rsidRPr="00A33A1F">
        <w:rPr>
          <w:rFonts w:eastAsia="Times New Roman"/>
        </w:rPr>
        <w:t>However, BMP effectiveness remains a matter of speculation. Most studies of the effects of BMPs</w:t>
      </w:r>
      <w:r>
        <w:rPr>
          <w:rFonts w:eastAsia="Times New Roman"/>
        </w:rPr>
        <w:t xml:space="preserve"> </w:t>
      </w:r>
      <w:r w:rsidRPr="00A33A1F">
        <w:rPr>
          <w:rFonts w:eastAsia="Times New Roman"/>
        </w:rPr>
        <w:t>have been too short in duration to capture lagged effects or provide an indication of long-term</w:t>
      </w:r>
      <w:r>
        <w:rPr>
          <w:rFonts w:eastAsia="Times New Roman"/>
        </w:rPr>
        <w:t xml:space="preserve"> </w:t>
      </w:r>
      <w:r w:rsidRPr="00A33A1F">
        <w:rPr>
          <w:rFonts w:eastAsia="Times New Roman"/>
        </w:rPr>
        <w:t xml:space="preserve">effects. </w:t>
      </w:r>
      <w:r w:rsidRPr="00A33A1F">
        <w:rPr>
          <w:rFonts w:eastAsia="Times New Roman"/>
        </w:rPr>
        <w:lastRenderedPageBreak/>
        <w:t>Little is known about the cumulative effectiveness of BMPs in the face of significant</w:t>
      </w:r>
      <w:r>
        <w:rPr>
          <w:rFonts w:eastAsia="Times New Roman"/>
        </w:rPr>
        <w:t xml:space="preserve"> </w:t>
      </w:r>
      <w:r w:rsidRPr="00A33A1F">
        <w:rPr>
          <w:rFonts w:eastAsia="Times New Roman"/>
        </w:rPr>
        <w:t>landscape alteration. While many assessments of BMPs have focused on estimating the short-term</w:t>
      </w:r>
      <w:r>
        <w:rPr>
          <w:rFonts w:eastAsia="Times New Roman"/>
        </w:rPr>
        <w:t xml:space="preserve"> </w:t>
      </w:r>
      <w:r w:rsidRPr="00A33A1F">
        <w:rPr>
          <w:rFonts w:eastAsia="Times New Roman"/>
        </w:rPr>
        <w:t>reduction in accelerated pollutant loading, most studies have not examined whether aquatic habitat</w:t>
      </w:r>
      <w:r>
        <w:rPr>
          <w:rFonts w:eastAsia="Times New Roman"/>
        </w:rPr>
        <w:t xml:space="preserve"> </w:t>
      </w:r>
      <w:r w:rsidRPr="00A33A1F">
        <w:rPr>
          <w:rFonts w:eastAsia="Times New Roman"/>
        </w:rPr>
        <w:t>is fully protected over the long term (USEPA, 1993). There has been extremely limited assessment</w:t>
      </w:r>
      <w:r>
        <w:rPr>
          <w:rFonts w:eastAsia="Times New Roman"/>
        </w:rPr>
        <w:t xml:space="preserve"> </w:t>
      </w:r>
      <w:r w:rsidRPr="00A33A1F">
        <w:rPr>
          <w:rFonts w:eastAsia="Times New Roman"/>
        </w:rPr>
        <w:t>of the cumulative effectiveness of BMPs. Appendix B contains a thorough historical perspective on</w:t>
      </w:r>
      <w:r>
        <w:rPr>
          <w:rFonts w:eastAsia="Times New Roman"/>
        </w:rPr>
        <w:t xml:space="preserve"> </w:t>
      </w:r>
      <w:r w:rsidRPr="00A33A1F">
        <w:rPr>
          <w:rFonts w:eastAsia="Times New Roman"/>
        </w:rPr>
        <w:t>how the reliance on BMPs and unwarranted planning assumptions led to the continued degradation</w:t>
      </w:r>
      <w:r>
        <w:rPr>
          <w:rFonts w:eastAsia="Times New Roman"/>
        </w:rPr>
        <w:t xml:space="preserve"> </w:t>
      </w:r>
      <w:r w:rsidRPr="00A33A1F">
        <w:rPr>
          <w:rFonts w:eastAsia="Times New Roman"/>
        </w:rPr>
        <w:t>of salmon habitat on the Clearwater National Forest.</w:t>
      </w:r>
    </w:p>
    <w:p w:rsidR="006647DA" w:rsidRDefault="006647DA" w:rsidP="006647DA">
      <w:pPr>
        <w:ind w:left="1441"/>
        <w:rPr>
          <w:rFonts w:eastAsia="Times New Roman"/>
        </w:rPr>
      </w:pPr>
      <w:r>
        <w:rPr>
          <w:rFonts w:eastAsia="Times New Roman"/>
        </w:rPr>
        <w:t>…</w:t>
      </w:r>
    </w:p>
    <w:p w:rsidR="006647DA" w:rsidRDefault="006647DA" w:rsidP="006647DA">
      <w:pPr>
        <w:ind w:left="1441"/>
        <w:rPr>
          <w:rFonts w:eastAsia="Times New Roman"/>
        </w:rPr>
      </w:pPr>
      <w:r w:rsidRPr="004B5CC4">
        <w:rPr>
          <w:rFonts w:eastAsia="Times New Roman"/>
        </w:rPr>
        <w:t xml:space="preserve">Scientific evaluations (Anderson et al., 1993; USFS, 1993b; USFS et al., 1993; </w:t>
      </w:r>
      <w:proofErr w:type="spellStart"/>
      <w:r w:rsidRPr="004B5CC4">
        <w:rPr>
          <w:rFonts w:eastAsia="Times New Roman"/>
        </w:rPr>
        <w:t>Henjum</w:t>
      </w:r>
      <w:proofErr w:type="spellEnd"/>
      <w:r w:rsidRPr="004B5CC4">
        <w:rPr>
          <w:rFonts w:eastAsia="Times New Roman"/>
        </w:rPr>
        <w:t xml:space="preserve"> et</w:t>
      </w:r>
      <w:r>
        <w:rPr>
          <w:rFonts w:eastAsia="Times New Roman"/>
        </w:rPr>
        <w:t xml:space="preserve"> </w:t>
      </w:r>
      <w:r w:rsidRPr="004B5CC4">
        <w:rPr>
          <w:rFonts w:eastAsia="Times New Roman"/>
        </w:rPr>
        <w:t>al., 1994) have consistently noted that roadless, unlogged tracts form the cornerstones of habitat</w:t>
      </w:r>
      <w:r>
        <w:rPr>
          <w:rFonts w:eastAsia="Times New Roman"/>
        </w:rPr>
        <w:t xml:space="preserve"> </w:t>
      </w:r>
      <w:r w:rsidRPr="004B5CC4">
        <w:rPr>
          <w:rFonts w:eastAsia="Times New Roman"/>
        </w:rPr>
        <w:t>recovery efforts. Existing roadless and wilderness areas provide the only high-quality habitats and</w:t>
      </w:r>
      <w:r>
        <w:rPr>
          <w:rFonts w:eastAsia="Times New Roman"/>
        </w:rPr>
        <w:t xml:space="preserve"> </w:t>
      </w:r>
      <w:r w:rsidRPr="004B5CC4">
        <w:rPr>
          <w:rFonts w:eastAsia="Times New Roman"/>
        </w:rPr>
        <w:t>islands of natural functioning systems left in the entire Snake River Basin. The extent of these areas</w:t>
      </w:r>
      <w:r>
        <w:rPr>
          <w:rFonts w:eastAsia="Times New Roman"/>
        </w:rPr>
        <w:t xml:space="preserve"> </w:t>
      </w:r>
      <w:r w:rsidRPr="004B5CC4">
        <w:rPr>
          <w:rFonts w:eastAsia="Times New Roman"/>
        </w:rPr>
        <w:t>is limited. It has not been shown under ecologically applicable experimental conditions that it is</w:t>
      </w:r>
      <w:r>
        <w:rPr>
          <w:rFonts w:eastAsia="Times New Roman"/>
        </w:rPr>
        <w:t xml:space="preserve"> </w:t>
      </w:r>
      <w:r w:rsidRPr="004B5CC4">
        <w:rPr>
          <w:rFonts w:eastAsia="Times New Roman"/>
        </w:rPr>
        <w:t>possible to enter roadless systems without compromising their natural function and/or without</w:t>
      </w:r>
      <w:r>
        <w:rPr>
          <w:rFonts w:eastAsia="Times New Roman"/>
        </w:rPr>
        <w:t xml:space="preserve"> </w:t>
      </w:r>
      <w:r w:rsidRPr="004B5CC4">
        <w:rPr>
          <w:rFonts w:eastAsia="Times New Roman"/>
        </w:rPr>
        <w:t xml:space="preserve">degrading habitat conditions, over time. Logging of roadless areas puts efforts to protect </w:t>
      </w:r>
      <w:proofErr w:type="spellStart"/>
      <w:r w:rsidRPr="004B5CC4">
        <w:rPr>
          <w:rFonts w:eastAsia="Times New Roman"/>
        </w:rPr>
        <w:t>nondegraded</w:t>
      </w:r>
      <w:proofErr w:type="spellEnd"/>
      <w:r w:rsidRPr="004B5CC4">
        <w:rPr>
          <w:rFonts w:eastAsia="Times New Roman"/>
        </w:rPr>
        <w:t xml:space="preserve"> and degraded habitats at risk (USFS et al., 1993).</w:t>
      </w:r>
      <w:r>
        <w:rPr>
          <w:rFonts w:eastAsia="Times New Roman"/>
        </w:rPr>
        <w:t xml:space="preserve"> [p 101]</w:t>
      </w:r>
    </w:p>
    <w:p w:rsidR="006647DA" w:rsidRDefault="006647DA" w:rsidP="006647DA">
      <w:pPr>
        <w:ind w:left="1441"/>
        <w:rPr>
          <w:rFonts w:eastAsia="Times New Roman"/>
        </w:rPr>
      </w:pPr>
      <w:r>
        <w:rPr>
          <w:rFonts w:eastAsia="Times New Roman"/>
        </w:rPr>
        <w:t>…</w:t>
      </w:r>
    </w:p>
    <w:p w:rsidR="006647DA" w:rsidRDefault="006647DA" w:rsidP="006647DA">
      <w:pPr>
        <w:ind w:left="1441"/>
        <w:rPr>
          <w:rFonts w:eastAsia="Times New Roman"/>
        </w:rPr>
      </w:pPr>
      <w:r w:rsidRPr="00BE578E">
        <w:rPr>
          <w:rFonts w:eastAsia="Times New Roman"/>
        </w:rPr>
        <w:t>in aggregate, available information indicates</w:t>
      </w:r>
      <w:r>
        <w:rPr>
          <w:rFonts w:eastAsia="Times New Roman"/>
        </w:rPr>
        <w:t xml:space="preserve"> </w:t>
      </w:r>
      <w:r w:rsidRPr="00BE578E">
        <w:rPr>
          <w:rFonts w:eastAsia="Times New Roman"/>
        </w:rPr>
        <w:t>that increased landscape disturbance and the development of previously undisturbed areas increase</w:t>
      </w:r>
      <w:r>
        <w:rPr>
          <w:rFonts w:eastAsia="Times New Roman"/>
        </w:rPr>
        <w:t xml:space="preserve"> </w:t>
      </w:r>
      <w:r w:rsidRPr="00BE578E">
        <w:rPr>
          <w:rFonts w:eastAsia="Times New Roman"/>
        </w:rPr>
        <w:t>the risk that salmon habitat will be degraded via alteration in watershed scale hydrology and material</w:t>
      </w:r>
      <w:r>
        <w:rPr>
          <w:rFonts w:eastAsia="Times New Roman"/>
        </w:rPr>
        <w:t xml:space="preserve"> </w:t>
      </w:r>
      <w:r w:rsidRPr="00BE578E">
        <w:rPr>
          <w:rFonts w:eastAsia="Times New Roman"/>
        </w:rPr>
        <w:t>transfers. Given what is known about the effects of land disturbance on habitat conditions together</w:t>
      </w:r>
      <w:r>
        <w:rPr>
          <w:rFonts w:eastAsia="Times New Roman"/>
        </w:rPr>
        <w:t xml:space="preserve"> </w:t>
      </w:r>
      <w:r w:rsidRPr="00BE578E">
        <w:rPr>
          <w:rFonts w:eastAsia="Times New Roman"/>
        </w:rPr>
        <w:t>with the existing inability to accurately predict cumulative effects it is not prudent to introduce</w:t>
      </w:r>
      <w:r>
        <w:rPr>
          <w:rFonts w:eastAsia="Times New Roman"/>
        </w:rPr>
        <w:t xml:space="preserve"> </w:t>
      </w:r>
      <w:r w:rsidRPr="00BE578E">
        <w:rPr>
          <w:rFonts w:eastAsia="Times New Roman"/>
        </w:rPr>
        <w:t>disturbance into undisturbed areas.</w:t>
      </w:r>
      <w:r>
        <w:rPr>
          <w:rFonts w:eastAsia="Times New Roman"/>
        </w:rPr>
        <w:t xml:space="preserve"> … </w:t>
      </w:r>
      <w:r w:rsidRPr="00D5416A">
        <w:rPr>
          <w:rFonts w:eastAsia="Times New Roman"/>
        </w:rPr>
        <w:t>It is unlikely that habitat degradation can be arrested and</w:t>
      </w:r>
      <w:r>
        <w:rPr>
          <w:rFonts w:eastAsia="Times New Roman"/>
        </w:rPr>
        <w:t xml:space="preserve"> </w:t>
      </w:r>
      <w:r w:rsidRPr="00D5416A">
        <w:rPr>
          <w:rFonts w:eastAsia="Times New Roman"/>
        </w:rPr>
        <w:t>reversed without protecting and restoring the natural functions of watersheds (USFS et al., 1993).</w:t>
      </w:r>
      <w:r>
        <w:rPr>
          <w:rFonts w:eastAsia="Times New Roman"/>
        </w:rPr>
        <w:t xml:space="preserve"> </w:t>
      </w:r>
      <w:r w:rsidRPr="00D5416A">
        <w:rPr>
          <w:rFonts w:eastAsia="Times New Roman"/>
        </w:rPr>
        <w:t>Undisturbed areas (provided they are minimally influenced by alterations to upstream areas or</w:t>
      </w:r>
      <w:r>
        <w:rPr>
          <w:rFonts w:eastAsia="Times New Roman"/>
        </w:rPr>
        <w:t xml:space="preserve"> </w:t>
      </w:r>
      <w:r w:rsidRPr="00D5416A">
        <w:rPr>
          <w:rFonts w:eastAsia="Times New Roman"/>
        </w:rPr>
        <w:t>neighboring watersheds) provide zones where the natural terrestrial processes can operate, and</w:t>
      </w:r>
      <w:r>
        <w:rPr>
          <w:rFonts w:eastAsia="Times New Roman"/>
        </w:rPr>
        <w:t xml:space="preserve"> </w:t>
      </w:r>
      <w:r w:rsidRPr="00D5416A">
        <w:rPr>
          <w:rFonts w:eastAsia="Times New Roman"/>
        </w:rPr>
        <w:t>through linkages with the stream system produce habitat conditions typical of those in which the</w:t>
      </w:r>
      <w:r>
        <w:rPr>
          <w:rFonts w:eastAsia="Times New Roman"/>
        </w:rPr>
        <w:t xml:space="preserve"> </w:t>
      </w:r>
      <w:r w:rsidRPr="00D5416A">
        <w:rPr>
          <w:rFonts w:eastAsia="Times New Roman"/>
        </w:rPr>
        <w:t xml:space="preserve">salmon evolved. </w:t>
      </w:r>
      <w:r>
        <w:rPr>
          <w:rFonts w:eastAsia="Times New Roman"/>
        </w:rPr>
        <w:t>[p 102]</w:t>
      </w:r>
    </w:p>
    <w:p w:rsidR="006647DA" w:rsidRDefault="006647DA" w:rsidP="006647DA">
      <w:pPr>
        <w:ind w:left="1441"/>
        <w:rPr>
          <w:rFonts w:eastAsia="Times New Roman"/>
        </w:rPr>
      </w:pPr>
      <w:r>
        <w:rPr>
          <w:rFonts w:eastAsia="Times New Roman"/>
        </w:rPr>
        <w:t>…</w:t>
      </w:r>
    </w:p>
    <w:p w:rsidR="006647DA" w:rsidRDefault="006647DA" w:rsidP="006647DA">
      <w:pPr>
        <w:ind w:left="1441"/>
        <w:rPr>
          <w:rFonts w:eastAsia="Times New Roman"/>
        </w:rPr>
      </w:pPr>
      <w:r w:rsidRPr="00283BA2">
        <w:rPr>
          <w:rFonts w:eastAsia="Times New Roman"/>
        </w:rPr>
        <w:t>Given the existing extent and magnitude of habitat degradation, uncertainties about the</w:t>
      </w:r>
      <w:r>
        <w:rPr>
          <w:rFonts w:eastAsia="Times New Roman"/>
        </w:rPr>
        <w:t xml:space="preserve"> </w:t>
      </w:r>
      <w:r w:rsidRPr="00283BA2">
        <w:rPr>
          <w:rFonts w:eastAsia="Times New Roman"/>
        </w:rPr>
        <w:t>prospects of habitat improvement in heavily damaged watersheds, and the irreversibility of effects,</w:t>
      </w:r>
      <w:r>
        <w:rPr>
          <w:rFonts w:eastAsia="Times New Roman"/>
        </w:rPr>
        <w:t xml:space="preserve"> </w:t>
      </w:r>
      <w:r w:rsidRPr="00283BA2">
        <w:rPr>
          <w:rFonts w:eastAsia="Times New Roman"/>
        </w:rPr>
        <w:t>it is prudent to require that most of the degraded habitat be improved prior to taking any risks with</w:t>
      </w:r>
      <w:r>
        <w:rPr>
          <w:rFonts w:eastAsia="Times New Roman"/>
        </w:rPr>
        <w:t xml:space="preserve"> </w:t>
      </w:r>
      <w:r w:rsidRPr="00283BA2">
        <w:rPr>
          <w:rFonts w:eastAsia="Times New Roman"/>
        </w:rPr>
        <w:t xml:space="preserve">the scarce areas with high quality habitat. As noted by </w:t>
      </w:r>
      <w:proofErr w:type="spellStart"/>
      <w:r w:rsidRPr="00283BA2">
        <w:rPr>
          <w:rFonts w:eastAsia="Times New Roman"/>
        </w:rPr>
        <w:t>Henjum</w:t>
      </w:r>
      <w:proofErr w:type="spellEnd"/>
      <w:r w:rsidRPr="00283BA2">
        <w:rPr>
          <w:rFonts w:eastAsia="Times New Roman"/>
        </w:rPr>
        <w:t xml:space="preserve"> et al., (1994) roadless tracts greater</w:t>
      </w:r>
      <w:r>
        <w:rPr>
          <w:rFonts w:eastAsia="Times New Roman"/>
        </w:rPr>
        <w:t xml:space="preserve"> </w:t>
      </w:r>
      <w:r w:rsidRPr="00283BA2">
        <w:rPr>
          <w:rFonts w:eastAsia="Times New Roman"/>
        </w:rPr>
        <w:t xml:space="preserve">than 1000 acres are ecologically important because of existing forest fragmentation </w:t>
      </w:r>
      <w:r w:rsidRPr="00283BA2">
        <w:rPr>
          <w:rFonts w:eastAsia="Times New Roman"/>
        </w:rPr>
        <w:lastRenderedPageBreak/>
        <w:t>and widespread</w:t>
      </w:r>
      <w:r>
        <w:rPr>
          <w:rFonts w:eastAsia="Times New Roman"/>
        </w:rPr>
        <w:t xml:space="preserve"> </w:t>
      </w:r>
      <w:r w:rsidRPr="00283BA2">
        <w:rPr>
          <w:rFonts w:eastAsia="Times New Roman"/>
        </w:rPr>
        <w:t>degradation. Therefore, we recommend that roadless tracts greater than 1000 acres should not logged</w:t>
      </w:r>
      <w:r>
        <w:rPr>
          <w:rFonts w:eastAsia="Times New Roman"/>
        </w:rPr>
        <w:t xml:space="preserve"> </w:t>
      </w:r>
      <w:r w:rsidRPr="00283BA2">
        <w:rPr>
          <w:rFonts w:eastAsia="Times New Roman"/>
        </w:rPr>
        <w:t xml:space="preserve">or </w:t>
      </w:r>
      <w:proofErr w:type="spellStart"/>
      <w:r w:rsidRPr="00283BA2">
        <w:rPr>
          <w:rFonts w:eastAsia="Times New Roman"/>
        </w:rPr>
        <w:t>roaded</w:t>
      </w:r>
      <w:proofErr w:type="spellEnd"/>
      <w:r w:rsidRPr="00283BA2">
        <w:rPr>
          <w:rFonts w:eastAsia="Times New Roman"/>
        </w:rPr>
        <w:t xml:space="preserve">, at least until </w:t>
      </w:r>
      <w:r>
        <w:rPr>
          <w:rFonts w:eastAsia="Times New Roman"/>
        </w:rPr>
        <w:t>s</w:t>
      </w:r>
      <w:r w:rsidRPr="00283BA2">
        <w:rPr>
          <w:rFonts w:eastAsia="Times New Roman"/>
        </w:rPr>
        <w:t>ubstantial habitat recovery has been documented in most habitat conditions</w:t>
      </w:r>
      <w:r>
        <w:rPr>
          <w:rFonts w:eastAsia="Times New Roman"/>
        </w:rPr>
        <w:t xml:space="preserve"> </w:t>
      </w:r>
      <w:r w:rsidRPr="00283BA2">
        <w:rPr>
          <w:rFonts w:eastAsia="Times New Roman"/>
        </w:rPr>
        <w:t>in managed watersheds</w:t>
      </w:r>
      <w:r>
        <w:rPr>
          <w:rFonts w:eastAsia="Times New Roman"/>
        </w:rPr>
        <w:t xml:space="preserve"> </w:t>
      </w:r>
      <w:r w:rsidRPr="00EC299C">
        <w:rPr>
          <w:rFonts w:eastAsia="Times New Roman"/>
        </w:rPr>
        <w:t>in the Snake River Basin. In order to provide some assurance that some</w:t>
      </w:r>
      <w:r>
        <w:rPr>
          <w:rFonts w:eastAsia="Times New Roman"/>
        </w:rPr>
        <w:t xml:space="preserve"> </w:t>
      </w:r>
      <w:r w:rsidRPr="00EC299C">
        <w:rPr>
          <w:rFonts w:eastAsia="Times New Roman"/>
        </w:rPr>
        <w:t>habitats remain as refugia for geographically isolated spawning populations, it is prudent to protect</w:t>
      </w:r>
      <w:r>
        <w:rPr>
          <w:rFonts w:eastAsia="Times New Roman"/>
        </w:rPr>
        <w:t xml:space="preserve"> </w:t>
      </w:r>
      <w:r w:rsidRPr="00EC299C">
        <w:rPr>
          <w:rFonts w:eastAsia="Times New Roman"/>
        </w:rPr>
        <w:t>existing roadless areas at least until habitats in 90% of the managed watersheds in the Snake River</w:t>
      </w:r>
      <w:r>
        <w:rPr>
          <w:rFonts w:eastAsia="Times New Roman"/>
        </w:rPr>
        <w:t xml:space="preserve"> </w:t>
      </w:r>
      <w:r w:rsidRPr="00EC299C">
        <w:rPr>
          <w:rFonts w:eastAsia="Times New Roman"/>
        </w:rPr>
        <w:t>Basin either meet all habitat standards or have exhibited statistically significant (p&lt;0.05) improving</w:t>
      </w:r>
      <w:r>
        <w:rPr>
          <w:rFonts w:eastAsia="Times New Roman"/>
        </w:rPr>
        <w:t xml:space="preserve"> </w:t>
      </w:r>
      <w:r w:rsidRPr="00EC299C">
        <w:rPr>
          <w:rFonts w:eastAsia="Times New Roman"/>
        </w:rPr>
        <w:t>trends over at least five years as documented through monitoring. In the event that degraded habitats</w:t>
      </w:r>
      <w:r>
        <w:rPr>
          <w:rFonts w:eastAsia="Times New Roman"/>
        </w:rPr>
        <w:t xml:space="preserve"> </w:t>
      </w:r>
      <w:r w:rsidRPr="00EC299C">
        <w:rPr>
          <w:rFonts w:eastAsia="Times New Roman"/>
        </w:rPr>
        <w:t>do not improve and/or salmon are extirpated from some watersheds, refugia afforded by roadless</w:t>
      </w:r>
      <w:r>
        <w:rPr>
          <w:rFonts w:eastAsia="Times New Roman"/>
        </w:rPr>
        <w:t xml:space="preserve"> </w:t>
      </w:r>
      <w:r w:rsidRPr="00EC299C">
        <w:rPr>
          <w:rFonts w:eastAsia="Times New Roman"/>
        </w:rPr>
        <w:t>tracts can provide some level of protection to populations that could ultimately recolonize barren</w:t>
      </w:r>
      <w:r>
        <w:rPr>
          <w:rFonts w:eastAsia="Times New Roman"/>
        </w:rPr>
        <w:t xml:space="preserve"> </w:t>
      </w:r>
      <w:r w:rsidRPr="00EC299C">
        <w:rPr>
          <w:rFonts w:eastAsia="Times New Roman"/>
        </w:rPr>
        <w:t>salmon habitat. Smaller roadless areas may also be ecologically important. Therefore, we also</w:t>
      </w:r>
      <w:r>
        <w:rPr>
          <w:rFonts w:eastAsia="Times New Roman"/>
        </w:rPr>
        <w:t xml:space="preserve"> </w:t>
      </w:r>
      <w:r w:rsidRPr="00EC299C">
        <w:rPr>
          <w:rFonts w:eastAsia="Times New Roman"/>
        </w:rPr>
        <w:t xml:space="preserve">recommend that smaller roadless areas should not be logged or </w:t>
      </w:r>
      <w:proofErr w:type="spellStart"/>
      <w:r w:rsidRPr="00EC299C">
        <w:rPr>
          <w:rFonts w:eastAsia="Times New Roman"/>
        </w:rPr>
        <w:t>roaded</w:t>
      </w:r>
      <w:proofErr w:type="spellEnd"/>
      <w:r w:rsidRPr="00EC299C">
        <w:rPr>
          <w:rFonts w:eastAsia="Times New Roman"/>
        </w:rPr>
        <w:t xml:space="preserve"> unless it can be demonstrated</w:t>
      </w:r>
      <w:r>
        <w:rPr>
          <w:rFonts w:eastAsia="Times New Roman"/>
        </w:rPr>
        <w:t xml:space="preserve"> </w:t>
      </w:r>
      <w:r w:rsidRPr="00EC299C">
        <w:rPr>
          <w:rFonts w:eastAsia="Times New Roman"/>
        </w:rPr>
        <w:t>via peer-reviewed scientific study that it will have no negative effect on watershed conditions and</w:t>
      </w:r>
      <w:r>
        <w:rPr>
          <w:rFonts w:eastAsia="Times New Roman"/>
        </w:rPr>
        <w:t xml:space="preserve"> </w:t>
      </w:r>
      <w:r w:rsidRPr="00EC299C">
        <w:rPr>
          <w:rFonts w:eastAsia="Times New Roman"/>
        </w:rPr>
        <w:t>will not foreclose management options for the recovery of salmon habitat.</w:t>
      </w:r>
      <w:r>
        <w:rPr>
          <w:rFonts w:eastAsia="Times New Roman"/>
        </w:rPr>
        <w:t xml:space="preserve">  [p 103]</w:t>
      </w:r>
    </w:p>
    <w:p w:rsidR="006647DA" w:rsidRDefault="006647DA" w:rsidP="006647DA">
      <w:pPr>
        <w:ind w:left="721"/>
        <w:rPr>
          <w:rFonts w:eastAsia="Times New Roman"/>
        </w:rPr>
      </w:pPr>
      <w:r w:rsidRPr="00D854CD">
        <w:rPr>
          <w:rFonts w:eastAsia="Times New Roman"/>
        </w:rPr>
        <w:t>Rhodes, J.J., D.A. McCullough, and F.A. Espinosa. 1994. A Coarse Screening Process for Potential Application in ESA Consultations. Technical Report 94-4. Prepared for National Marine Fisheries Service.</w:t>
      </w:r>
      <w:r>
        <w:rPr>
          <w:rFonts w:eastAsia="Times New Roman"/>
        </w:rPr>
        <w:t xml:space="preserve"> </w:t>
      </w:r>
      <w:hyperlink r:id="rId294" w:history="1">
        <w:r w:rsidRPr="00982E5B">
          <w:rPr>
            <w:rStyle w:val="Hyperlink"/>
            <w:rFonts w:eastAsia="Times New Roman"/>
          </w:rPr>
          <w:t>http://66.162.129.14/tech/94-4report.pdf</w:t>
        </w:r>
      </w:hyperlink>
    </w:p>
    <w:p w:rsidR="006647DA" w:rsidRDefault="006647DA" w:rsidP="006647DA">
      <w:pPr>
        <w:ind w:left="721"/>
        <w:contextualSpacing/>
        <w:rPr>
          <w:rFonts w:eastAsia="Times New Roman"/>
        </w:rPr>
      </w:pPr>
    </w:p>
    <w:p w:rsidR="006647DA" w:rsidRDefault="006647DA" w:rsidP="006647DA">
      <w:pPr>
        <w:ind w:left="721"/>
        <w:contextualSpacing/>
        <w:rPr>
          <w:rFonts w:eastAsia="Times New Roman"/>
        </w:rPr>
      </w:pPr>
      <w:r>
        <w:rPr>
          <w:rFonts w:eastAsia="Times New Roman"/>
        </w:rPr>
        <w:t xml:space="preserve">The importance of conserving unroaded areas is highlighted by the finding that forest fragmentation in the U.S. continues to increase. </w:t>
      </w:r>
      <w:proofErr w:type="spellStart"/>
      <w:r>
        <w:rPr>
          <w:rFonts w:eastAsia="Times New Roman"/>
        </w:rPr>
        <w:t>Riitters</w:t>
      </w:r>
      <w:proofErr w:type="spellEnd"/>
      <w:r>
        <w:rPr>
          <w:rFonts w:eastAsia="Times New Roman"/>
        </w:rPr>
        <w:t xml:space="preserve"> et al (2012) compared the decline in total forest area to the decline in interior forest conditions from 2001 to 2006 at 5 spatial scales and found that interior forest is declining faster than total forest at all spatial scales, with greater losses in the largest spatial scales. </w:t>
      </w:r>
    </w:p>
    <w:p w:rsidR="006647DA" w:rsidRDefault="006647DA" w:rsidP="006647DA">
      <w:pPr>
        <w:ind w:left="1080"/>
        <w:contextualSpacing/>
        <w:rPr>
          <w:rFonts w:eastAsia="Times New Roman"/>
        </w:rPr>
      </w:pPr>
      <w:r>
        <w:rPr>
          <w:noProof/>
        </w:rPr>
        <w:drawing>
          <wp:inline distT="0" distB="0" distL="0" distR="0" wp14:anchorId="1D94B589" wp14:editId="6D051186">
            <wp:extent cx="4610100" cy="1264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5" cstate="screen">
                      <a:extLst>
                        <a:ext uri="{28A0092B-C50C-407E-A947-70E740481C1C}">
                          <a14:useLocalDpi xmlns:a14="http://schemas.microsoft.com/office/drawing/2010/main"/>
                        </a:ext>
                      </a:extLst>
                    </a:blip>
                    <a:srcRect/>
                    <a:stretch>
                      <a:fillRect/>
                    </a:stretch>
                  </pic:blipFill>
                  <pic:spPr bwMode="auto">
                    <a:xfrm>
                      <a:off x="0" y="0"/>
                      <a:ext cx="4610100" cy="1264920"/>
                    </a:xfrm>
                    <a:prstGeom prst="rect">
                      <a:avLst/>
                    </a:prstGeom>
                    <a:noFill/>
                    <a:ln>
                      <a:noFill/>
                    </a:ln>
                  </pic:spPr>
                </pic:pic>
              </a:graphicData>
            </a:graphic>
          </wp:inline>
        </w:drawing>
      </w:r>
    </w:p>
    <w:p w:rsidR="006647DA" w:rsidRDefault="006647DA" w:rsidP="006647DA">
      <w:pPr>
        <w:ind w:left="721"/>
        <w:contextualSpacing/>
        <w:rPr>
          <w:rFonts w:eastAsia="Times New Roman"/>
        </w:rPr>
      </w:pPr>
      <w:proofErr w:type="spellStart"/>
      <w:r w:rsidRPr="009D350A">
        <w:rPr>
          <w:rFonts w:eastAsia="Times New Roman"/>
        </w:rPr>
        <w:t>Riitters</w:t>
      </w:r>
      <w:proofErr w:type="spellEnd"/>
      <w:r w:rsidRPr="009D350A">
        <w:rPr>
          <w:rFonts w:eastAsia="Times New Roman"/>
        </w:rPr>
        <w:t>, K.H. &amp; Wickham, J.D. (2012)</w:t>
      </w:r>
      <w:r>
        <w:rPr>
          <w:rFonts w:eastAsia="Times New Roman"/>
        </w:rPr>
        <w:t xml:space="preserve"> </w:t>
      </w:r>
      <w:r w:rsidRPr="009D350A">
        <w:rPr>
          <w:rFonts w:eastAsia="Times New Roman"/>
        </w:rPr>
        <w:t>Decline of forest interior conditions</w:t>
      </w:r>
      <w:r>
        <w:rPr>
          <w:rFonts w:eastAsia="Times New Roman"/>
        </w:rPr>
        <w:t xml:space="preserve"> </w:t>
      </w:r>
      <w:r w:rsidRPr="009D350A">
        <w:rPr>
          <w:rFonts w:eastAsia="Times New Roman"/>
        </w:rPr>
        <w:t>in the conterminous United States. Sci. Rep. 2, 653; DOI:10.1038/srep00653</w:t>
      </w:r>
      <w:r>
        <w:rPr>
          <w:rFonts w:eastAsia="Times New Roman"/>
        </w:rPr>
        <w:t xml:space="preserve">. </w:t>
      </w:r>
      <w:hyperlink r:id="rId296" w:history="1">
        <w:r>
          <w:rPr>
            <w:rStyle w:val="Hyperlink"/>
          </w:rPr>
          <w:t>https://www.srs.fs.fed.us/pubs/ja/2012/ja_2012_riitters_002.pdf</w:t>
        </w:r>
      </w:hyperlink>
      <w:r>
        <w:t>.</w:t>
      </w:r>
    </w:p>
    <w:p w:rsidR="006647DA" w:rsidRDefault="006647DA" w:rsidP="006647DA"/>
    <w:p w:rsidR="006647DA" w:rsidRDefault="006647DA" w:rsidP="006647DA">
      <w:r>
        <w:t xml:space="preserve">NEPA mandates that an agency “shall to the fullest extent possible: use the NEPA process to identify and assess the reasonable alternatives to proposed actions that will avoid or minimize adverse effects of these action upon the quality of the human environment.” 40 C.F.R. § 1500.2(e). NEPA also requires the USFS to “study, develop, and describe appropriate </w:t>
      </w:r>
      <w:r>
        <w:lastRenderedPageBreak/>
        <w:t xml:space="preserve">alternatives to the recommended courses of action in any proposal which involves unresolved conflicts concerning alternative uses of available resources as provided by section 102(2)(E) of the Act [NEPA]” 40 C.F.R. § 1501.2 (c). </w:t>
      </w:r>
    </w:p>
    <w:p w:rsidR="006647DA" w:rsidRDefault="006647DA" w:rsidP="006647DA"/>
    <w:p w:rsidR="006647DA" w:rsidRDefault="006647DA" w:rsidP="006647DA">
      <w:r>
        <w:t>Environmental analysis documents must “[r]</w:t>
      </w:r>
      <w:proofErr w:type="spellStart"/>
      <w:r>
        <w:t>igorously</w:t>
      </w:r>
      <w:proofErr w:type="spellEnd"/>
      <w:r>
        <w:t xml:space="preserve"> explore and objectively evaluate all reasonable alternatives” to the project. 40 C.F.R. § 1502.14(a). The Council on Environmental Quality (CEQ), which promulgated the regulations implementing NEPA, characterizes the discussion of alternatives as “the heart of the environmental impact statement.” 40 C.F.R. § 1502.14. A </w:t>
      </w:r>
      <w:proofErr w:type="spellStart"/>
      <w:r>
        <w:t>decisionmaker</w:t>
      </w:r>
      <w:proofErr w:type="spellEnd"/>
      <w:r>
        <w:t xml:space="preserve"> must explore alternatives in sufficient enough detail to “sharply </w:t>
      </w:r>
      <w:proofErr w:type="spellStart"/>
      <w:r>
        <w:t>defin</w:t>
      </w:r>
      <w:proofErr w:type="spellEnd"/>
      <w:r>
        <w:t xml:space="preserve">[e] the issues and </w:t>
      </w:r>
      <w:proofErr w:type="spellStart"/>
      <w:r>
        <w:t>provid</w:t>
      </w:r>
      <w:proofErr w:type="spellEnd"/>
      <w:r>
        <w:t xml:space="preserve">[e] a clear basis for choice among options by the </w:t>
      </w:r>
      <w:proofErr w:type="spellStart"/>
      <w:r>
        <w:t>decisionmaker</w:t>
      </w:r>
      <w:proofErr w:type="spellEnd"/>
      <w:r>
        <w:t xml:space="preserve"> and the public.” </w:t>
      </w:r>
      <w:r>
        <w:rPr>
          <w:i/>
          <w:iCs/>
        </w:rPr>
        <w:t>Id</w:t>
      </w:r>
      <w:r>
        <w:t xml:space="preserve">. § 1502.14. All reasonable alternatives must receive a “rigorous exploration and objective evaluation... , particularly those that might enhance environmental quality or avoid some or all of the adverse environmental effects.” </w:t>
      </w:r>
      <w:r>
        <w:rPr>
          <w:i/>
          <w:iCs/>
        </w:rPr>
        <w:t>Id</w:t>
      </w:r>
      <w:r>
        <w:t xml:space="preserve">. § 1500.8(a)(4). The analysis of the alternatives must be “sufficiently detailed to reveal the agency’s comparative evaluation of the environmental benefits, costs and risks of the proposed action and each reasonable alternative.” </w:t>
      </w:r>
      <w:r>
        <w:rPr>
          <w:i/>
          <w:iCs/>
        </w:rPr>
        <w:t>Id</w:t>
      </w:r>
      <w:r>
        <w:t>.</w:t>
      </w:r>
    </w:p>
    <w:p w:rsidR="006647DA" w:rsidRDefault="006647DA" w:rsidP="006647DA"/>
    <w:p w:rsidR="006647DA" w:rsidRDefault="006647DA" w:rsidP="006647DA">
      <w:r>
        <w:t xml:space="preserve">If the NEPA document considers only a restricted range of alternatives this would violate the very purpose of NEPA’s alternative analysis requirement, which is to foster informed decision-making and full public involvement. 42 U.S.C. §§ 4331, 4332(2)(E); 40 C.F.R. § 1508.9(b). </w:t>
      </w:r>
      <w:r>
        <w:rPr>
          <w:i/>
          <w:iCs/>
        </w:rPr>
        <w:t xml:space="preserve">See also Robertson v. </w:t>
      </w:r>
      <w:proofErr w:type="spellStart"/>
      <w:r>
        <w:rPr>
          <w:i/>
          <w:iCs/>
        </w:rPr>
        <w:t>Methow</w:t>
      </w:r>
      <w:proofErr w:type="spellEnd"/>
      <w:r>
        <w:rPr>
          <w:i/>
          <w:iCs/>
        </w:rPr>
        <w:t xml:space="preserve"> Valley Citizen’s Council</w:t>
      </w:r>
      <w:r>
        <w:t xml:space="preserve">, 490 U.S. 332, 349 (1989). The Ninth Circuit stated in </w:t>
      </w:r>
      <w:r>
        <w:rPr>
          <w:i/>
          <w:iCs/>
        </w:rPr>
        <w:t>California v. Block</w:t>
      </w:r>
      <w:r>
        <w:t xml:space="preserve"> that “[a]s with the standard employed to evaluate the detail that NEPA requires in discussing a decision’s environmental consequences, the touchstone for our inquiry is whether an EIS’s selection and discussion of alternatives fosters informed decision-making and informed public participation.” </w:t>
      </w:r>
      <w:r>
        <w:rPr>
          <w:i/>
          <w:iCs/>
        </w:rPr>
        <w:t>California v. Block</w:t>
      </w:r>
      <w:r>
        <w:t>, 690 F.2d 753, 767 (9</w:t>
      </w:r>
      <w:r>
        <w:rPr>
          <w:vertAlign w:val="superscript"/>
        </w:rPr>
        <w:t>th</w:t>
      </w:r>
      <w:r>
        <w:t xml:space="preserve"> Cir. 1982). </w:t>
      </w:r>
    </w:p>
    <w:p w:rsidR="006647DA" w:rsidRDefault="006647DA" w:rsidP="006647DA"/>
    <w:p w:rsidR="006647DA" w:rsidRDefault="006647DA" w:rsidP="006647DA">
      <w:r>
        <w:t xml:space="preserve">The purpose of the multiple alternative analysis requirement is to insist that no major federal project be undertaken without intense consideration of other more ecologically sound courses of action, including shelving the entire project, or of accomplishing the same result by entirely different means. </w:t>
      </w:r>
      <w:r>
        <w:rPr>
          <w:i/>
          <w:iCs/>
        </w:rPr>
        <w:t>Environmental Defense Fund v. Corps of Engineers</w:t>
      </w:r>
      <w:r>
        <w:t>, 492 F.2d 1123, 1135 (5</w:t>
      </w:r>
      <w:r>
        <w:rPr>
          <w:vertAlign w:val="superscript"/>
        </w:rPr>
        <w:t>th</w:t>
      </w:r>
      <w:r>
        <w:t xml:space="preserve"> Cir. 1974); </w:t>
      </w:r>
      <w:proofErr w:type="spellStart"/>
      <w:r>
        <w:rPr>
          <w:i/>
          <w:iCs/>
        </w:rPr>
        <w:t>Methow</w:t>
      </w:r>
      <w:proofErr w:type="spellEnd"/>
      <w:r>
        <w:rPr>
          <w:i/>
          <w:iCs/>
        </w:rPr>
        <w:t xml:space="preserve"> Valley Citizens Council v. Regional Forester</w:t>
      </w:r>
      <w:r>
        <w:t>, 833 F.2d 810 (9</w:t>
      </w:r>
      <w:r>
        <w:rPr>
          <w:vertAlign w:val="superscript"/>
        </w:rPr>
        <w:t>th</w:t>
      </w:r>
      <w:r>
        <w:t xml:space="preserve"> Cir. 1987), </w:t>
      </w:r>
      <w:proofErr w:type="spellStart"/>
      <w:r>
        <w:rPr>
          <w:i/>
          <w:iCs/>
        </w:rPr>
        <w:t>rev’d</w:t>
      </w:r>
      <w:proofErr w:type="spellEnd"/>
      <w:r>
        <w:rPr>
          <w:i/>
          <w:iCs/>
        </w:rPr>
        <w:t xml:space="preserve"> on other grounds</w:t>
      </w:r>
      <w:r>
        <w:t xml:space="preserve">, 490 U.S. 332 (1989) (agency must consider alternative sites for a project). The Ninth Circuit has concluded that “the existence of a viable but unexamined alternative renders an environmental impact statement inadequate.” </w:t>
      </w:r>
      <w:r>
        <w:rPr>
          <w:i/>
          <w:iCs/>
        </w:rPr>
        <w:t>Alaska Wilderness Recreation &amp; Tourism v. Morrison</w:t>
      </w:r>
      <w:r>
        <w:t>, 67 F.3d 723, 729 (9</w:t>
      </w:r>
      <w:r>
        <w:rPr>
          <w:vertAlign w:val="superscript"/>
        </w:rPr>
        <w:t>th</w:t>
      </w:r>
      <w:r>
        <w:t xml:space="preserve"> Cir.1995). </w:t>
      </w:r>
    </w:p>
    <w:p w:rsidR="00C137D5" w:rsidRDefault="00C137D5" w:rsidP="00A31583"/>
    <w:p w:rsidR="00C137D5" w:rsidRDefault="00C137D5" w:rsidP="00A31583"/>
    <w:p w:rsidR="00666A20" w:rsidRPr="00A31583" w:rsidRDefault="00203259" w:rsidP="00A31583">
      <w:r>
        <w:t>Each substantive issue discussed in these comments should be (</w:t>
      </w:r>
      <w:proofErr w:type="spellStart"/>
      <w:r>
        <w:t>i</w:t>
      </w:r>
      <w:proofErr w:type="spellEnd"/>
      <w:r>
        <w:t>) incorporated into the purpose and need for the p</w:t>
      </w:r>
      <w:r w:rsidR="006767B9">
        <w:t xml:space="preserve">roject, (ii) used to develop </w:t>
      </w:r>
      <w:r>
        <w:t>NEPA alternative</w:t>
      </w:r>
      <w:r w:rsidR="006767B9">
        <w:t xml:space="preserve">s that balance tradeoffs in </w:t>
      </w:r>
      <w:r w:rsidR="006767B9">
        <w:lastRenderedPageBreak/>
        <w:t>different ways</w:t>
      </w:r>
      <w:r>
        <w:t xml:space="preserve">, (iii) carefully analyzed </w:t>
      </w:r>
      <w:r w:rsidR="006767B9">
        <w:t xml:space="preserve">and documented </w:t>
      </w:r>
      <w:r>
        <w:t>as part of the effects analysis, and (iv) considered for mitigation.</w:t>
      </w:r>
    </w:p>
    <w:p w:rsidR="00666A20" w:rsidRPr="00A31583" w:rsidRDefault="00666A20" w:rsidP="00A31583"/>
    <w:p w:rsidR="00666A20" w:rsidRPr="00A31583" w:rsidRDefault="00666A20" w:rsidP="00A31583">
      <w:r w:rsidRPr="00A31583">
        <w:t xml:space="preserve">Note: If any of these web links in this document are dead, they may be resurrected using the </w:t>
      </w:r>
      <w:proofErr w:type="spellStart"/>
      <w:r w:rsidRPr="00A31583">
        <w:t>Wayback</w:t>
      </w:r>
      <w:proofErr w:type="spellEnd"/>
      <w:r w:rsidRPr="00A31583">
        <w:t xml:space="preserve"> Machine at Archive.org. </w:t>
      </w:r>
      <w:hyperlink r:id="rId297" w:history="1">
        <w:r w:rsidRPr="00A31583">
          <w:rPr>
            <w:color w:val="0000FF"/>
            <w:u w:val="single"/>
          </w:rPr>
          <w:t>http://wayback.archive.org/web/</w:t>
        </w:r>
      </w:hyperlink>
    </w:p>
    <w:p w:rsidR="00A31583" w:rsidRDefault="00A31583" w:rsidP="00A31583"/>
    <w:p w:rsidR="00073464" w:rsidRDefault="00073464"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298" cstate="screen">
                      <a:extLst>
                        <a:ext uri="{28A0092B-C50C-407E-A947-70E740481C1C}">
                          <a14:useLocalDpi xmlns:a14="http://schemas.microsoft.com/office/drawing/2010/main"/>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59057E" w:rsidRDefault="00347CB8" w:rsidP="00A31583">
      <w:hyperlink r:id="rId299" w:history="1">
        <w:r w:rsidR="00690066" w:rsidRPr="00A31583">
          <w:rPr>
            <w:rStyle w:val="Hyperlink"/>
          </w:rPr>
          <w:t>dh@oregonwild.org</w:t>
        </w:r>
      </w:hyperlink>
      <w:r w:rsidR="00690066" w:rsidRPr="00A31583">
        <w:t xml:space="preserve"> </w:t>
      </w:r>
    </w:p>
    <w:p w:rsidR="0059057E" w:rsidRDefault="0059057E">
      <w:pPr>
        <w:spacing w:after="200"/>
      </w:pPr>
      <w:r>
        <w:br w:type="page"/>
      </w:r>
    </w:p>
    <w:p w:rsidR="00690066" w:rsidRDefault="0059057E" w:rsidP="00A31583">
      <w:r>
        <w:rPr>
          <w:noProof/>
        </w:rPr>
        <w:lastRenderedPageBreak/>
        <w:drawing>
          <wp:inline distT="0" distB="0" distL="0" distR="0" wp14:anchorId="2F878BF3" wp14:editId="648762A7">
            <wp:extent cx="5943600" cy="25958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0"/>
                    <a:stretch>
                      <a:fillRect/>
                    </a:stretch>
                  </pic:blipFill>
                  <pic:spPr>
                    <a:xfrm>
                      <a:off x="0" y="0"/>
                      <a:ext cx="5943600" cy="2595880"/>
                    </a:xfrm>
                    <a:prstGeom prst="rect">
                      <a:avLst/>
                    </a:prstGeom>
                  </pic:spPr>
                </pic:pic>
              </a:graphicData>
            </a:graphic>
          </wp:inline>
        </w:drawing>
      </w:r>
    </w:p>
    <w:p w:rsidR="0059057E" w:rsidRDefault="0059057E" w:rsidP="00A31583"/>
    <w:p w:rsidR="0059057E" w:rsidRDefault="0059057E" w:rsidP="0059057E">
      <w:pPr>
        <w:pStyle w:val="Heading1"/>
        <w:shd w:val="clear" w:color="auto" w:fill="FFFFFF"/>
        <w:spacing w:before="0"/>
        <w:rPr>
          <w:rFonts w:ascii="Arial" w:hAnsi="Arial" w:cs="Arial"/>
          <w:color w:val="000000"/>
        </w:rPr>
      </w:pPr>
      <w:r>
        <w:rPr>
          <w:rFonts w:ascii="Arial" w:hAnsi="Arial" w:cs="Arial"/>
          <w:color w:val="000000"/>
        </w:rPr>
        <w:t>Forest Management Direction for Large Diameter Trees in Eastern Oregon #58050</w:t>
      </w:r>
    </w:p>
    <w:p w:rsidR="0059057E" w:rsidRDefault="0059057E" w:rsidP="0059057E">
      <w:pPr>
        <w:pStyle w:val="Heading2"/>
        <w:pBdr>
          <w:bottom w:val="single" w:sz="6" w:space="8" w:color="000000"/>
        </w:pBdr>
        <w:shd w:val="clear" w:color="auto" w:fill="FFFFFF"/>
        <w:spacing w:before="300" w:after="75"/>
        <w:rPr>
          <w:rFonts w:ascii="Arial" w:hAnsi="Arial" w:cs="Arial"/>
          <w:color w:val="37512C"/>
          <w:sz w:val="42"/>
          <w:szCs w:val="42"/>
        </w:rPr>
      </w:pPr>
      <w:r>
        <w:rPr>
          <w:rFonts w:ascii="Arial" w:hAnsi="Arial" w:cs="Arial"/>
          <w:color w:val="37512C"/>
          <w:sz w:val="42"/>
          <w:szCs w:val="42"/>
        </w:rPr>
        <w:t>Thank you for Your Comment.</w:t>
      </w:r>
    </w:p>
    <w:p w:rsidR="0059057E" w:rsidRDefault="0059057E" w:rsidP="0059057E">
      <w:r>
        <w:rPr>
          <w:rFonts w:ascii="Verdana" w:hAnsi="Verdana"/>
          <w:color w:val="000000"/>
          <w:sz w:val="20"/>
          <w:szCs w:val="20"/>
          <w:shd w:val="clear" w:color="auto" w:fill="FFFDEE"/>
        </w:rPr>
        <w:t>Your comment has been received by our system on 10/13/2020</w:t>
      </w:r>
      <w:r>
        <w:rPr>
          <w:rFonts w:ascii="Verdana" w:hAnsi="Verdana"/>
          <w:color w:val="000000"/>
          <w:sz w:val="20"/>
          <w:szCs w:val="20"/>
        </w:rPr>
        <w:br/>
      </w:r>
    </w:p>
    <w:p w:rsidR="0059057E" w:rsidRDefault="0059057E" w:rsidP="0059057E">
      <w:pPr>
        <w:pStyle w:val="NormalWeb"/>
        <w:shd w:val="clear" w:color="auto" w:fill="FFFFFF"/>
        <w:spacing w:before="0" w:after="300" w:line="384" w:lineRule="atLeast"/>
        <w:rPr>
          <w:rFonts w:ascii="Verdana" w:hAnsi="Verdana"/>
          <w:color w:val="000000"/>
          <w:sz w:val="20"/>
          <w:szCs w:val="20"/>
        </w:rPr>
      </w:pPr>
      <w:r>
        <w:rPr>
          <w:rFonts w:ascii="Verdana" w:hAnsi="Verdana"/>
          <w:color w:val="000000"/>
          <w:sz w:val="20"/>
          <w:szCs w:val="20"/>
        </w:rPr>
        <w:t>Your letter may be found in the Public Reading Room within 24 hours. The reading room can be found at the following site: </w:t>
      </w:r>
      <w:hyperlink r:id="rId301" w:tgtFrame="_blank" w:history="1">
        <w:r>
          <w:rPr>
            <w:rStyle w:val="Hyperlink"/>
            <w:rFonts w:ascii="Verdana" w:hAnsi="Verdana"/>
            <w:color w:val="034AF3"/>
            <w:sz w:val="20"/>
            <w:szCs w:val="20"/>
          </w:rPr>
          <w:t>Public Reading Room</w:t>
        </w:r>
      </w:hyperlink>
    </w:p>
    <w:p w:rsidR="0059057E" w:rsidRDefault="0059057E" w:rsidP="0059057E">
      <w:r>
        <w:rPr>
          <w:rFonts w:ascii="Verdana" w:hAnsi="Verdana"/>
          <w:color w:val="000000"/>
          <w:sz w:val="20"/>
          <w:szCs w:val="20"/>
        </w:rPr>
        <w:br/>
      </w:r>
      <w:r>
        <w:rPr>
          <w:rFonts w:ascii="Verdana" w:hAnsi="Verdana"/>
          <w:color w:val="000000"/>
          <w:sz w:val="20"/>
          <w:szCs w:val="20"/>
          <w:shd w:val="clear" w:color="auto" w:fill="FFFDEE"/>
        </w:rPr>
        <w:t>Your letter ID is </w:t>
      </w:r>
      <w:hyperlink r:id="rId302" w:tgtFrame="_blank" w:history="1">
        <w:r>
          <w:rPr>
            <w:rStyle w:val="Hyperlink"/>
            <w:rFonts w:ascii="Verdana" w:hAnsi="Verdana"/>
            <w:b/>
            <w:bCs/>
            <w:color w:val="034AF3"/>
            <w:sz w:val="20"/>
            <w:szCs w:val="20"/>
            <w:shd w:val="clear" w:color="auto" w:fill="FFFFFF"/>
          </w:rPr>
          <w:t>58050-3424-2628</w:t>
        </w:r>
      </w:hyperlink>
      <w:r>
        <w:rPr>
          <w:rFonts w:ascii="Verdana" w:hAnsi="Verdana"/>
          <w:color w:val="000000"/>
          <w:sz w:val="20"/>
          <w:szCs w:val="20"/>
          <w:shd w:val="clear" w:color="auto" w:fill="FFFDEE"/>
        </w:rPr>
        <w:t>. Please save or print this page for your records.</w:t>
      </w:r>
      <w:r>
        <w:rPr>
          <w:rFonts w:ascii="Verdana" w:hAnsi="Verdana"/>
          <w:color w:val="000000"/>
          <w:sz w:val="20"/>
          <w:szCs w:val="20"/>
        </w:rPr>
        <w:br/>
      </w:r>
    </w:p>
    <w:p w:rsidR="0059057E" w:rsidRDefault="0059057E" w:rsidP="0059057E">
      <w:pPr>
        <w:rPr>
          <w:rFonts w:ascii="Verdana" w:hAnsi="Verdana"/>
          <w:color w:val="000000"/>
          <w:sz w:val="20"/>
          <w:szCs w:val="20"/>
          <w:shd w:val="clear" w:color="auto" w:fill="FFFDEE"/>
        </w:rPr>
      </w:pPr>
      <w:r>
        <w:rPr>
          <w:rFonts w:ascii="Verdana" w:hAnsi="Verdana"/>
          <w:color w:val="000000"/>
          <w:sz w:val="20"/>
          <w:szCs w:val="20"/>
          <w:shd w:val="clear" w:color="auto" w:fill="FFFDEE"/>
        </w:rPr>
        <w:t>Regards,  </w:t>
      </w:r>
      <w:r>
        <w:rPr>
          <w:rFonts w:ascii="Verdana" w:hAnsi="Verdana"/>
          <w:color w:val="000000"/>
          <w:sz w:val="20"/>
          <w:szCs w:val="20"/>
        </w:rPr>
        <w:br/>
      </w:r>
      <w:r>
        <w:rPr>
          <w:rFonts w:ascii="Verdana" w:hAnsi="Verdana"/>
          <w:color w:val="000000"/>
          <w:sz w:val="20"/>
          <w:szCs w:val="20"/>
          <w:shd w:val="clear" w:color="auto" w:fill="FFFDEE"/>
        </w:rPr>
        <w:t>The Forest Management Direction for Large Diameter Trees in Eastern Oregon Team</w:t>
      </w:r>
    </w:p>
    <w:p w:rsidR="001B28F5" w:rsidRDefault="001B28F5" w:rsidP="0059057E">
      <w:pPr>
        <w:rPr>
          <w:rFonts w:ascii="Verdana" w:hAnsi="Verdana"/>
          <w:color w:val="000000"/>
          <w:sz w:val="20"/>
          <w:szCs w:val="20"/>
          <w:shd w:val="clear" w:color="auto" w:fill="FFFDEE"/>
        </w:rPr>
      </w:pPr>
    </w:p>
    <w:p w:rsidR="001B28F5" w:rsidRDefault="001B28F5" w:rsidP="0059057E">
      <w:pPr>
        <w:rPr>
          <w:rFonts w:ascii="Verdana" w:hAnsi="Verdana"/>
          <w:color w:val="000000"/>
          <w:sz w:val="20"/>
          <w:szCs w:val="20"/>
          <w:shd w:val="clear" w:color="auto" w:fill="FFFDEE"/>
        </w:rPr>
      </w:pPr>
    </w:p>
    <w:p w:rsidR="001B28F5" w:rsidRDefault="001B28F5" w:rsidP="0059057E">
      <w:pPr>
        <w:rPr>
          <w:rFonts w:ascii="Verdana" w:hAnsi="Verdana"/>
          <w:color w:val="000000"/>
          <w:sz w:val="20"/>
          <w:szCs w:val="20"/>
          <w:shd w:val="clear" w:color="auto" w:fill="FFFDEE"/>
        </w:rPr>
      </w:pPr>
    </w:p>
    <w:p w:rsidR="001B28F5" w:rsidRDefault="001B28F5" w:rsidP="0059057E">
      <w:pPr>
        <w:rPr>
          <w:rFonts w:ascii="Verdana" w:hAnsi="Verdana"/>
          <w:color w:val="000000"/>
          <w:sz w:val="20"/>
          <w:szCs w:val="20"/>
          <w:shd w:val="clear" w:color="auto" w:fill="FFFDEE"/>
        </w:rPr>
      </w:pPr>
    </w:p>
    <w:p w:rsidR="001B28F5" w:rsidRDefault="001B28F5" w:rsidP="0059057E">
      <w:pPr>
        <w:rPr>
          <w:rFonts w:ascii="Verdana" w:hAnsi="Verdana"/>
          <w:color w:val="000000"/>
          <w:sz w:val="20"/>
          <w:szCs w:val="20"/>
          <w:shd w:val="clear" w:color="auto" w:fill="FFFDEE"/>
        </w:rPr>
      </w:pPr>
    </w:p>
    <w:p w:rsidR="001B28F5" w:rsidRDefault="001B28F5" w:rsidP="0059057E">
      <w:r>
        <w:rPr>
          <w:noProof/>
        </w:rPr>
        <w:lastRenderedPageBreak/>
        <w:drawing>
          <wp:inline distT="0" distB="0" distL="0" distR="0" wp14:anchorId="37D2F91A" wp14:editId="47B74093">
            <wp:extent cx="5943600" cy="29552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3"/>
                    <a:stretch>
                      <a:fillRect/>
                    </a:stretch>
                  </pic:blipFill>
                  <pic:spPr>
                    <a:xfrm>
                      <a:off x="0" y="0"/>
                      <a:ext cx="5943600" cy="2955290"/>
                    </a:xfrm>
                    <a:prstGeom prst="rect">
                      <a:avLst/>
                    </a:prstGeom>
                  </pic:spPr>
                </pic:pic>
              </a:graphicData>
            </a:graphic>
          </wp:inline>
        </w:drawing>
      </w:r>
    </w:p>
    <w:p w:rsidR="001B28F5" w:rsidRDefault="001B28F5" w:rsidP="0059057E">
      <w:bookmarkStart w:id="56" w:name="_GoBack"/>
      <w:bookmarkEnd w:id="56"/>
    </w:p>
    <w:p w:rsidR="001B28F5" w:rsidRDefault="001B28F5" w:rsidP="0059057E">
      <w:r w:rsidRPr="001B28F5">
        <w:t>Found in reading room:</w:t>
      </w:r>
    </w:p>
    <w:p w:rsidR="001B28F5" w:rsidRPr="00A31583" w:rsidRDefault="001B28F5" w:rsidP="0059057E">
      <w:hyperlink r:id="rId304" w:history="1">
        <w:r w:rsidRPr="00340185">
          <w:rPr>
            <w:rStyle w:val="Hyperlink"/>
          </w:rPr>
          <w:t>https://cara.ecosystem-management.org/Public/Letter/2612870?project=58050</w:t>
        </w:r>
      </w:hyperlink>
      <w:r>
        <w:t xml:space="preserve"> </w:t>
      </w:r>
    </w:p>
    <w:sectPr w:rsidR="001B28F5" w:rsidRPr="00A31583" w:rsidSect="00FB7E0C">
      <w:footerReference w:type="default" r:id="rId305"/>
      <w:headerReference w:type="first" r:id="rId306"/>
      <w:footerReference w:type="first" r:id="rId307"/>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CB8" w:rsidRDefault="00347CB8" w:rsidP="00A31583">
      <w:r>
        <w:separator/>
      </w:r>
    </w:p>
  </w:endnote>
  <w:endnote w:type="continuationSeparator" w:id="0">
    <w:p w:rsidR="00347CB8" w:rsidRDefault="00347CB8"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z-fixed">
    <w:altName w:val="Times New Roman"/>
    <w:charset w:val="00"/>
    <w:family w:val="roman"/>
    <w:pitch w:val="default"/>
  </w:font>
  <w:font w:name="AdvGulliv-R">
    <w:altName w:val="Times New Roman"/>
    <w:panose1 w:val="00000000000000000000"/>
    <w:charset w:val="00"/>
    <w:family w:val="roman"/>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MinionPro-Regular">
    <w:altName w:val="Times New Roman"/>
    <w:panose1 w:val="00000000000000000000"/>
    <w:charset w:val="00"/>
    <w:family w:val="roman"/>
    <w:notTrueType/>
    <w:pitch w:val="default"/>
  </w:font>
  <w:font w:name="MyriadPro-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New  Roma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rsidR="00314E23" w:rsidRDefault="00D85C34" w:rsidP="00EF340E">
        <w:pPr>
          <w:pStyle w:val="Footer"/>
        </w:pPr>
        <w:r w:rsidRPr="00D85C34">
          <w:rPr>
            <w:i/>
            <w:sz w:val="20"/>
            <w:szCs w:val="20"/>
          </w:rPr>
          <w:t>Oregon Wild comments on the Screens Preliminary Environmental Assessment</w:t>
        </w:r>
        <w:r>
          <w:t xml:space="preserve"> </w:t>
        </w:r>
        <w:r>
          <w:tab/>
        </w:r>
        <w:r w:rsidR="00314E23">
          <w:fldChar w:fldCharType="begin"/>
        </w:r>
        <w:r w:rsidR="00314E23">
          <w:instrText xml:space="preserve"> PAGE   \* MERGEFORMAT </w:instrText>
        </w:r>
        <w:r w:rsidR="00314E23">
          <w:fldChar w:fldCharType="separate"/>
        </w:r>
        <w:r w:rsidR="001B28F5">
          <w:rPr>
            <w:noProof/>
          </w:rPr>
          <w:t>120</w:t>
        </w:r>
        <w:r w:rsidR="00314E23">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rsidR="00314E23" w:rsidRDefault="00314E23">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14E23" w:rsidRPr="0039371F" w:rsidRDefault="00314E23">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314E23" w:rsidRPr="0039371F" w:rsidRDefault="00314E23">
                        <w:pPr>
                          <w:rPr>
                            <w:color w:val="FFFFFF" w:themeColor="background1"/>
                            <w14:textFill>
                              <w14:noFill/>
                            </w14:textFill>
                          </w:rPr>
                        </w:pPr>
                      </w:p>
                    </w:txbxContent>
                  </v:textbox>
                </v:shape>
              </w:pict>
            </mc:Fallback>
          </mc:AlternateContent>
        </w:r>
        <w:r>
          <w:fldChar w:fldCharType="begin"/>
        </w:r>
        <w:r>
          <w:instrText xml:space="preserve"> PAGE   \* MERGEFORMAT </w:instrText>
        </w:r>
        <w:r>
          <w:fldChar w:fldCharType="separate"/>
        </w:r>
        <w:r w:rsidR="001B28F5">
          <w:rPr>
            <w:noProof/>
          </w:rPr>
          <w:t>1</w:t>
        </w:r>
        <w:r>
          <w:rPr>
            <w:noProof/>
          </w:rPr>
          <w:fldChar w:fldCharType="end"/>
        </w:r>
      </w:p>
    </w:sdtContent>
  </w:sdt>
  <w:p w:rsidR="00314E23" w:rsidRDefault="00314E23"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CB8" w:rsidRDefault="00347CB8" w:rsidP="00A31583">
      <w:r>
        <w:separator/>
      </w:r>
    </w:p>
  </w:footnote>
  <w:footnote w:type="continuationSeparator" w:id="0">
    <w:p w:rsidR="00347CB8" w:rsidRDefault="00347CB8"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E23" w:rsidRDefault="00314E23"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nsid w:val="0000001F"/>
    <w:multiLevelType w:val="singleLevel"/>
    <w:tmpl w:val="0000001F"/>
    <w:name w:val="WW8Num31"/>
    <w:lvl w:ilvl="0">
      <w:start w:val="1"/>
      <w:numFmt w:val="decimal"/>
      <w:lvlText w:val="%1."/>
      <w:lvlJc w:val="left"/>
      <w:pPr>
        <w:tabs>
          <w:tab w:val="num" w:pos="720"/>
        </w:tabs>
        <w:ind w:left="720" w:hanging="360"/>
      </w:pPr>
      <w:rPr>
        <w:szCs w:val="24"/>
      </w:rPr>
    </w:lvl>
  </w:abstractNum>
  <w:abstractNum w:abstractNumId="2">
    <w:nsid w:val="00000028"/>
    <w:multiLevelType w:val="singleLevel"/>
    <w:tmpl w:val="04090001"/>
    <w:name w:val="WW8Num2322222"/>
    <w:lvl w:ilvl="0">
      <w:start w:val="1"/>
      <w:numFmt w:val="bullet"/>
      <w:lvlText w:val=""/>
      <w:lvlJc w:val="left"/>
      <w:pPr>
        <w:ind w:left="1080" w:hanging="360"/>
      </w:pPr>
      <w:rPr>
        <w:rFonts w:ascii="Symbol" w:hAnsi="Symbol" w:hint="default"/>
      </w:rPr>
    </w:lvl>
  </w:abstractNum>
  <w:abstractNum w:abstractNumId="3">
    <w:nsid w:val="065779A4"/>
    <w:multiLevelType w:val="hybridMultilevel"/>
    <w:tmpl w:val="AD5E6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D40D9C"/>
    <w:multiLevelType w:val="hybridMultilevel"/>
    <w:tmpl w:val="A8BCE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C04F89"/>
    <w:multiLevelType w:val="hybridMultilevel"/>
    <w:tmpl w:val="1A86D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E1D3A"/>
    <w:multiLevelType w:val="hybridMultilevel"/>
    <w:tmpl w:val="EE9A0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DF2191"/>
    <w:multiLevelType w:val="hybridMultilevel"/>
    <w:tmpl w:val="D096B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A41FD5"/>
    <w:multiLevelType w:val="hybridMultilevel"/>
    <w:tmpl w:val="E722C2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A9751B"/>
    <w:multiLevelType w:val="hybridMultilevel"/>
    <w:tmpl w:val="E030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350853"/>
    <w:multiLevelType w:val="hybridMultilevel"/>
    <w:tmpl w:val="08FA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1C4A81"/>
    <w:multiLevelType w:val="hybridMultilevel"/>
    <w:tmpl w:val="D6F2AA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E3E635F"/>
    <w:multiLevelType w:val="hybridMultilevel"/>
    <w:tmpl w:val="9B3E1B54"/>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F8318BF"/>
    <w:multiLevelType w:val="hybridMultilevel"/>
    <w:tmpl w:val="BA34E286"/>
    <w:lvl w:ilvl="0" w:tplc="0D3AAF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AF3E14"/>
    <w:multiLevelType w:val="multilevel"/>
    <w:tmpl w:val="7ADCA9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2C334A"/>
    <w:multiLevelType w:val="hybridMultilevel"/>
    <w:tmpl w:val="9468D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490D3D"/>
    <w:multiLevelType w:val="hybridMultilevel"/>
    <w:tmpl w:val="1B46A7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FF97384"/>
    <w:multiLevelType w:val="multilevel"/>
    <w:tmpl w:val="A75040A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40316A56"/>
    <w:multiLevelType w:val="hybridMultilevel"/>
    <w:tmpl w:val="6C9A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622DA4"/>
    <w:multiLevelType w:val="hybridMultilevel"/>
    <w:tmpl w:val="A2669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A5316B4"/>
    <w:multiLevelType w:val="hybridMultilevel"/>
    <w:tmpl w:val="4E021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63597D"/>
    <w:multiLevelType w:val="hybridMultilevel"/>
    <w:tmpl w:val="C016A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A7297D"/>
    <w:multiLevelType w:val="hybridMultilevel"/>
    <w:tmpl w:val="C63C8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DA3FFE"/>
    <w:multiLevelType w:val="hybridMultilevel"/>
    <w:tmpl w:val="5FAA5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2D5016"/>
    <w:multiLevelType w:val="hybridMultilevel"/>
    <w:tmpl w:val="1EF2A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F07B7B"/>
    <w:multiLevelType w:val="hybridMultilevel"/>
    <w:tmpl w:val="28ACB2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E261732"/>
    <w:multiLevelType w:val="hybridMultilevel"/>
    <w:tmpl w:val="FF2861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8E44B8"/>
    <w:multiLevelType w:val="hybridMultilevel"/>
    <w:tmpl w:val="2CB8F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31C7CE3"/>
    <w:multiLevelType w:val="hybridMultilevel"/>
    <w:tmpl w:val="83889F90"/>
    <w:lvl w:ilvl="0" w:tplc="54548B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7815EB"/>
    <w:multiLevelType w:val="hybridMultilevel"/>
    <w:tmpl w:val="43D4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6479EF"/>
    <w:multiLevelType w:val="hybridMultilevel"/>
    <w:tmpl w:val="40F8F7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F316BAF"/>
    <w:multiLevelType w:val="hybridMultilevel"/>
    <w:tmpl w:val="E8F0C6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F36278E"/>
    <w:multiLevelType w:val="hybridMultilevel"/>
    <w:tmpl w:val="66DA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C05647"/>
    <w:multiLevelType w:val="hybridMultilevel"/>
    <w:tmpl w:val="617E9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2BB3424"/>
    <w:multiLevelType w:val="hybridMultilevel"/>
    <w:tmpl w:val="F42E4550"/>
    <w:name w:val="WW8Num232222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4941AEF"/>
    <w:multiLevelType w:val="hybridMultilevel"/>
    <w:tmpl w:val="EF2AC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D36C3"/>
    <w:multiLevelType w:val="hybridMultilevel"/>
    <w:tmpl w:val="1AA23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441DB8"/>
    <w:multiLevelType w:val="hybridMultilevel"/>
    <w:tmpl w:val="A57887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B86116"/>
    <w:multiLevelType w:val="hybridMultilevel"/>
    <w:tmpl w:val="9D881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3"/>
  </w:num>
  <w:num w:numId="3">
    <w:abstractNumId w:val="20"/>
  </w:num>
  <w:num w:numId="4">
    <w:abstractNumId w:val="24"/>
  </w:num>
  <w:num w:numId="5">
    <w:abstractNumId w:val="6"/>
  </w:num>
  <w:num w:numId="6">
    <w:abstractNumId w:val="7"/>
  </w:num>
  <w:num w:numId="7">
    <w:abstractNumId w:val="39"/>
  </w:num>
  <w:num w:numId="8">
    <w:abstractNumId w:val="0"/>
  </w:num>
  <w:num w:numId="9">
    <w:abstractNumId w:val="13"/>
  </w:num>
  <w:num w:numId="10">
    <w:abstractNumId w:val="33"/>
  </w:num>
  <w:num w:numId="11">
    <w:abstractNumId w:val="15"/>
  </w:num>
  <w:num w:numId="12">
    <w:abstractNumId w:val="14"/>
    <w:lvlOverride w:ilvl="0">
      <w:lvl w:ilvl="0">
        <w:numFmt w:val="upperLetter"/>
        <w:lvlText w:val="%1."/>
        <w:lvlJc w:val="left"/>
      </w:lvl>
    </w:lvlOverride>
  </w:num>
  <w:num w:numId="13">
    <w:abstractNumId w:val="14"/>
    <w:lvlOverride w:ilvl="0">
      <w:lvl w:ilvl="0">
        <w:numFmt w:val="upperLetter"/>
        <w:lvlText w:val="%1."/>
        <w:lvlJc w:val="left"/>
      </w:lvl>
    </w:lvlOverride>
    <w:lvlOverride w:ilvl="1">
      <w:lvl w:ilvl="1">
        <w:numFmt w:val="lowerLetter"/>
        <w:lvlText w:val="%2."/>
        <w:lvlJc w:val="left"/>
      </w:lvl>
    </w:lvlOverride>
  </w:num>
  <w:num w:numId="14">
    <w:abstractNumId w:val="17"/>
  </w:num>
  <w:num w:numId="15">
    <w:abstractNumId w:val="10"/>
  </w:num>
  <w:num w:numId="16">
    <w:abstractNumId w:val="38"/>
  </w:num>
  <w:num w:numId="17">
    <w:abstractNumId w:val="4"/>
  </w:num>
  <w:num w:numId="18">
    <w:abstractNumId w:val="28"/>
  </w:num>
  <w:num w:numId="19">
    <w:abstractNumId w:val="9"/>
  </w:num>
  <w:num w:numId="20">
    <w:abstractNumId w:val="3"/>
  </w:num>
  <w:num w:numId="21">
    <w:abstractNumId w:val="18"/>
  </w:num>
  <w:num w:numId="22">
    <w:abstractNumId w:val="11"/>
  </w:num>
  <w:num w:numId="23">
    <w:abstractNumId w:val="37"/>
  </w:num>
  <w:num w:numId="24">
    <w:abstractNumId w:val="8"/>
  </w:num>
  <w:num w:numId="25">
    <w:abstractNumId w:val="21"/>
  </w:num>
  <w:num w:numId="26">
    <w:abstractNumId w:val="2"/>
  </w:num>
  <w:num w:numId="27">
    <w:abstractNumId w:val="35"/>
  </w:num>
  <w:num w:numId="28">
    <w:abstractNumId w:val="1"/>
  </w:num>
  <w:num w:numId="29">
    <w:abstractNumId w:val="29"/>
  </w:num>
  <w:num w:numId="30">
    <w:abstractNumId w:val="30"/>
  </w:num>
  <w:num w:numId="31">
    <w:abstractNumId w:val="12"/>
  </w:num>
  <w:num w:numId="32">
    <w:abstractNumId w:val="16"/>
  </w:num>
  <w:num w:numId="33">
    <w:abstractNumId w:val="19"/>
  </w:num>
  <w:num w:numId="34">
    <w:abstractNumId w:val="27"/>
  </w:num>
  <w:num w:numId="35">
    <w:abstractNumId w:val="25"/>
  </w:num>
  <w:num w:numId="36">
    <w:abstractNumId w:val="32"/>
  </w:num>
  <w:num w:numId="37">
    <w:abstractNumId w:val="34"/>
  </w:num>
  <w:num w:numId="38">
    <w:abstractNumId w:val="22"/>
  </w:num>
  <w:num w:numId="39">
    <w:abstractNumId w:val="36"/>
  </w:num>
  <w:num w:numId="40">
    <w:abstractNumId w:val="26"/>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43FF0"/>
    <w:rsid w:val="000637AA"/>
    <w:rsid w:val="00073464"/>
    <w:rsid w:val="000B047D"/>
    <w:rsid w:val="00107FE3"/>
    <w:rsid w:val="00176387"/>
    <w:rsid w:val="00193B64"/>
    <w:rsid w:val="001A11A7"/>
    <w:rsid w:val="001B10A3"/>
    <w:rsid w:val="001B28F5"/>
    <w:rsid w:val="001B5F59"/>
    <w:rsid w:val="00203259"/>
    <w:rsid w:val="0025001E"/>
    <w:rsid w:val="002E1243"/>
    <w:rsid w:val="002F3058"/>
    <w:rsid w:val="00305621"/>
    <w:rsid w:val="00314E23"/>
    <w:rsid w:val="00347CB8"/>
    <w:rsid w:val="0039371F"/>
    <w:rsid w:val="00396D09"/>
    <w:rsid w:val="003C72D2"/>
    <w:rsid w:val="003D0C27"/>
    <w:rsid w:val="003D1ABA"/>
    <w:rsid w:val="0048281C"/>
    <w:rsid w:val="0049572E"/>
    <w:rsid w:val="004B1314"/>
    <w:rsid w:val="004B4699"/>
    <w:rsid w:val="004D118D"/>
    <w:rsid w:val="004F3C37"/>
    <w:rsid w:val="0054296B"/>
    <w:rsid w:val="00556662"/>
    <w:rsid w:val="00560017"/>
    <w:rsid w:val="0059057E"/>
    <w:rsid w:val="005B629D"/>
    <w:rsid w:val="005F71C7"/>
    <w:rsid w:val="005F760E"/>
    <w:rsid w:val="00607E2F"/>
    <w:rsid w:val="00617699"/>
    <w:rsid w:val="00625BDA"/>
    <w:rsid w:val="00641836"/>
    <w:rsid w:val="00643B5A"/>
    <w:rsid w:val="0065505E"/>
    <w:rsid w:val="006647DA"/>
    <w:rsid w:val="00666077"/>
    <w:rsid w:val="00666A20"/>
    <w:rsid w:val="006767B9"/>
    <w:rsid w:val="00683296"/>
    <w:rsid w:val="006874A9"/>
    <w:rsid w:val="00690066"/>
    <w:rsid w:val="007540A7"/>
    <w:rsid w:val="0077438E"/>
    <w:rsid w:val="00793345"/>
    <w:rsid w:val="007A4009"/>
    <w:rsid w:val="007F02FF"/>
    <w:rsid w:val="00817205"/>
    <w:rsid w:val="00862444"/>
    <w:rsid w:val="0089193D"/>
    <w:rsid w:val="008A2BDC"/>
    <w:rsid w:val="008D4530"/>
    <w:rsid w:val="00912F74"/>
    <w:rsid w:val="00977740"/>
    <w:rsid w:val="009915F1"/>
    <w:rsid w:val="00996983"/>
    <w:rsid w:val="009B64DB"/>
    <w:rsid w:val="00A12B51"/>
    <w:rsid w:val="00A31583"/>
    <w:rsid w:val="00A50DA3"/>
    <w:rsid w:val="00A51B7E"/>
    <w:rsid w:val="00A62D9E"/>
    <w:rsid w:val="00A90230"/>
    <w:rsid w:val="00AB302C"/>
    <w:rsid w:val="00B13D79"/>
    <w:rsid w:val="00B21127"/>
    <w:rsid w:val="00B247CF"/>
    <w:rsid w:val="00B861B4"/>
    <w:rsid w:val="00B95EE2"/>
    <w:rsid w:val="00BC1EF1"/>
    <w:rsid w:val="00BD401F"/>
    <w:rsid w:val="00BD7DDA"/>
    <w:rsid w:val="00BE193A"/>
    <w:rsid w:val="00C05577"/>
    <w:rsid w:val="00C0625C"/>
    <w:rsid w:val="00C137D5"/>
    <w:rsid w:val="00C24985"/>
    <w:rsid w:val="00C4467F"/>
    <w:rsid w:val="00C86A7F"/>
    <w:rsid w:val="00CF61E1"/>
    <w:rsid w:val="00D1481D"/>
    <w:rsid w:val="00D21F21"/>
    <w:rsid w:val="00D85C34"/>
    <w:rsid w:val="00D90D1C"/>
    <w:rsid w:val="00DB018E"/>
    <w:rsid w:val="00DB102D"/>
    <w:rsid w:val="00DE0E01"/>
    <w:rsid w:val="00DE4164"/>
    <w:rsid w:val="00E17639"/>
    <w:rsid w:val="00E361BE"/>
    <w:rsid w:val="00E70E85"/>
    <w:rsid w:val="00EB5DCF"/>
    <w:rsid w:val="00EC1860"/>
    <w:rsid w:val="00EC6343"/>
    <w:rsid w:val="00EE1061"/>
    <w:rsid w:val="00EE1DAC"/>
    <w:rsid w:val="00EE654C"/>
    <w:rsid w:val="00EF340E"/>
    <w:rsid w:val="00F419B9"/>
    <w:rsid w:val="00F73E70"/>
    <w:rsid w:val="00FB7E0C"/>
    <w:rsid w:val="00FD6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193B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5001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1769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25001E"/>
    <w:pPr>
      <w:ind w:left="720"/>
      <w:contextualSpacing/>
    </w:pPr>
  </w:style>
  <w:style w:type="character" w:customStyle="1" w:styleId="Heading2Char">
    <w:name w:val="Heading 2 Char"/>
    <w:basedOn w:val="DefaultParagraphFont"/>
    <w:link w:val="Heading2"/>
    <w:uiPriority w:val="9"/>
    <w:rsid w:val="0025001E"/>
    <w:rPr>
      <w:rFonts w:asciiTheme="majorHAnsi" w:eastAsiaTheme="majorEastAsia" w:hAnsiTheme="majorHAnsi" w:cstheme="majorBidi"/>
      <w:b/>
      <w:bCs/>
      <w:color w:val="4F81BD" w:themeColor="accent1"/>
      <w:sz w:val="26"/>
      <w:szCs w:val="26"/>
    </w:rPr>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uiPriority w:val="99"/>
    <w:qFormat/>
    <w:rsid w:val="0025001E"/>
    <w:pPr>
      <w:spacing w:line="240" w:lineRule="auto"/>
    </w:pPr>
    <w:rPr>
      <w:rFonts w:eastAsia="Cambria"/>
    </w:rPr>
  </w:style>
  <w:style w:type="character" w:customStyle="1" w:styleId="FootnoteTextChar">
    <w:name w:val="Footnote Text Char"/>
    <w:aliases w:val="Footnote ak Char,Footnote Text Char Char Char Char Char,FA Char,FA Fußnotentext Char,Footnote Text Char Char Char1,Footnote Text Char Char Char Char Char Char Char,Footnote Text Char Char Char Char1,Footnote Text Char4 Char,Char Char"/>
    <w:basedOn w:val="DefaultParagraphFont"/>
    <w:link w:val="FootnoteText"/>
    <w:uiPriority w:val="99"/>
    <w:rsid w:val="0025001E"/>
    <w:rPr>
      <w:rFonts w:ascii="Times New Roman" w:eastAsia="Cambria" w:hAnsi="Times New Roman" w:cs="Times New Roman"/>
      <w:sz w:val="24"/>
      <w:szCs w:val="24"/>
    </w:rPr>
  </w:style>
  <w:style w:type="character" w:styleId="FootnoteReference">
    <w:name w:val="footnote reference"/>
    <w:basedOn w:val="DefaultParagraphFont"/>
    <w:rsid w:val="0025001E"/>
    <w:rPr>
      <w:vertAlign w:val="superscript"/>
    </w:rPr>
  </w:style>
  <w:style w:type="paragraph" w:customStyle="1" w:styleId="Default">
    <w:name w:val="Default"/>
    <w:rsid w:val="0025001E"/>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rsid w:val="0025001E"/>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25001E"/>
    <w:rPr>
      <w:rFonts w:ascii="-moz-fixed" w:eastAsia="-moz-fixed" w:hAnsi="-moz-fixed" w:cs="-moz-fixed"/>
      <w:sz w:val="24"/>
      <w:szCs w:val="20"/>
      <w:lang w:eastAsia="ar-SA"/>
    </w:rPr>
  </w:style>
  <w:style w:type="character" w:styleId="FollowedHyperlink">
    <w:name w:val="FollowedHyperlink"/>
    <w:basedOn w:val="DefaultParagraphFont"/>
    <w:uiPriority w:val="99"/>
    <w:semiHidden/>
    <w:unhideWhenUsed/>
    <w:rsid w:val="0025001E"/>
    <w:rPr>
      <w:color w:val="800080" w:themeColor="followedHyperlink"/>
      <w:u w:val="single"/>
    </w:rPr>
  </w:style>
  <w:style w:type="table" w:styleId="TableGrid">
    <w:name w:val="Table Grid"/>
    <w:basedOn w:val="TableNormal"/>
    <w:uiPriority w:val="59"/>
    <w:rsid w:val="00250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5001E"/>
    <w:pPr>
      <w:suppressAutoHyphens/>
      <w:spacing w:before="100" w:after="100" w:line="240" w:lineRule="auto"/>
    </w:pPr>
    <w:rPr>
      <w:rFonts w:ascii="-moz-fixed" w:eastAsia="-moz-fixed" w:hAnsi="-moz-fixed" w:cs="-moz-fixed"/>
      <w:lang w:eastAsia="ar-SA"/>
    </w:rPr>
  </w:style>
  <w:style w:type="character" w:customStyle="1" w:styleId="Heading3Char">
    <w:name w:val="Heading 3 Char"/>
    <w:basedOn w:val="DefaultParagraphFont"/>
    <w:link w:val="Heading3"/>
    <w:uiPriority w:val="9"/>
    <w:semiHidden/>
    <w:rsid w:val="00617699"/>
    <w:rPr>
      <w:rFonts w:asciiTheme="majorHAnsi" w:eastAsiaTheme="majorEastAsia" w:hAnsiTheme="majorHAnsi" w:cstheme="majorBidi"/>
      <w:b/>
      <w:bCs/>
      <w:color w:val="4F81BD" w:themeColor="accent1"/>
      <w:sz w:val="24"/>
      <w:szCs w:val="24"/>
    </w:rPr>
  </w:style>
  <w:style w:type="paragraph" w:styleId="CommentText">
    <w:name w:val="annotation text"/>
    <w:basedOn w:val="Normal"/>
    <w:link w:val="CommentTextChar"/>
    <w:rsid w:val="00617699"/>
    <w:pPr>
      <w:suppressAutoHyphens/>
      <w:spacing w:line="240" w:lineRule="auto"/>
    </w:pPr>
    <w:rPr>
      <w:rFonts w:ascii="-moz-fixed" w:eastAsia="-moz-fixed" w:hAnsi="-moz-fixed" w:cs="-moz-fixed"/>
      <w:sz w:val="20"/>
      <w:szCs w:val="20"/>
      <w:lang w:eastAsia="ar-SA"/>
    </w:rPr>
  </w:style>
  <w:style w:type="character" w:customStyle="1" w:styleId="CommentTextChar">
    <w:name w:val="Comment Text Char"/>
    <w:basedOn w:val="DefaultParagraphFont"/>
    <w:link w:val="CommentText"/>
    <w:rsid w:val="00617699"/>
    <w:rPr>
      <w:rFonts w:ascii="-moz-fixed" w:eastAsia="-moz-fixed" w:hAnsi="-moz-fixed" w:cs="-moz-fixed"/>
      <w:sz w:val="20"/>
      <w:szCs w:val="20"/>
      <w:lang w:eastAsia="ar-SA"/>
    </w:rPr>
  </w:style>
  <w:style w:type="character" w:customStyle="1" w:styleId="apple-converted-space">
    <w:name w:val="apple-converted-space"/>
    <w:basedOn w:val="DefaultParagraphFont"/>
    <w:rsid w:val="0054296B"/>
  </w:style>
  <w:style w:type="paragraph" w:styleId="BodyText">
    <w:name w:val="Body Text"/>
    <w:basedOn w:val="Normal"/>
    <w:link w:val="BodyTextChar"/>
    <w:uiPriority w:val="99"/>
    <w:unhideWhenUsed/>
    <w:rsid w:val="0077438E"/>
    <w:pPr>
      <w:spacing w:after="120"/>
    </w:pPr>
  </w:style>
  <w:style w:type="character" w:customStyle="1" w:styleId="BodyTextChar">
    <w:name w:val="Body Text Char"/>
    <w:basedOn w:val="DefaultParagraphFont"/>
    <w:link w:val="BodyText"/>
    <w:uiPriority w:val="99"/>
    <w:rsid w:val="0077438E"/>
    <w:rPr>
      <w:rFonts w:ascii="Times New Roman" w:hAnsi="Times New Roman" w:cs="Times New Roman"/>
      <w:sz w:val="24"/>
      <w:szCs w:val="24"/>
    </w:rPr>
  </w:style>
  <w:style w:type="character" w:customStyle="1" w:styleId="fontstyle21">
    <w:name w:val="fontstyle21"/>
    <w:rsid w:val="0077438E"/>
    <w:rPr>
      <w:rFonts w:ascii="AdvGulliv-R" w:hAnsi="AdvGulliv-R" w:hint="default"/>
      <w:b w:val="0"/>
      <w:bCs w:val="0"/>
      <w:i w:val="0"/>
      <w:iCs w:val="0"/>
      <w:color w:val="000000"/>
      <w:sz w:val="14"/>
      <w:szCs w:val="14"/>
    </w:rPr>
  </w:style>
  <w:style w:type="character" w:customStyle="1" w:styleId="e">
    <w:name w:val="e"/>
    <w:basedOn w:val="DefaultParagraphFont"/>
    <w:rsid w:val="0077438E"/>
  </w:style>
  <w:style w:type="character" w:customStyle="1" w:styleId="FootnoteCharacters">
    <w:name w:val="Footnote Characters"/>
    <w:rsid w:val="00C24985"/>
    <w:rPr>
      <w:vertAlign w:val="superscript"/>
    </w:rPr>
  </w:style>
  <w:style w:type="character" w:customStyle="1" w:styleId="Heading1Char">
    <w:name w:val="Heading 1 Char"/>
    <w:basedOn w:val="DefaultParagraphFont"/>
    <w:link w:val="Heading1"/>
    <w:uiPriority w:val="9"/>
    <w:rsid w:val="00193B6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93B64"/>
    <w:pPr>
      <w:outlineLvl w:val="9"/>
    </w:pPr>
    <w:rPr>
      <w:lang w:eastAsia="ja-JP"/>
    </w:rPr>
  </w:style>
  <w:style w:type="paragraph" w:styleId="TOC2">
    <w:name w:val="toc 2"/>
    <w:basedOn w:val="Normal"/>
    <w:next w:val="Normal"/>
    <w:autoRedefine/>
    <w:uiPriority w:val="39"/>
    <w:unhideWhenUsed/>
    <w:rsid w:val="00193B64"/>
    <w:pPr>
      <w:spacing w:after="100"/>
      <w:ind w:left="240"/>
    </w:pPr>
  </w:style>
  <w:style w:type="paragraph" w:styleId="TOC3">
    <w:name w:val="toc 3"/>
    <w:basedOn w:val="Normal"/>
    <w:next w:val="Normal"/>
    <w:autoRedefine/>
    <w:uiPriority w:val="39"/>
    <w:unhideWhenUsed/>
    <w:rsid w:val="00193B64"/>
    <w:pPr>
      <w:spacing w:after="100"/>
      <w:ind w:left="480"/>
    </w:pPr>
  </w:style>
  <w:style w:type="paragraph" w:styleId="Subtitle">
    <w:name w:val="Subtitle"/>
    <w:basedOn w:val="Normal"/>
    <w:next w:val="Normal"/>
    <w:link w:val="SubtitleChar"/>
    <w:uiPriority w:val="11"/>
    <w:qFormat/>
    <w:rsid w:val="007F02F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F02FF"/>
    <w:rPr>
      <w:rFonts w:asciiTheme="majorHAnsi" w:eastAsiaTheme="majorEastAsia" w:hAnsiTheme="majorHAnsi" w:cstheme="majorBidi"/>
      <w:i/>
      <w:iCs/>
      <w:color w:val="4F81BD" w:themeColor="accent1"/>
      <w:spacing w:val="15"/>
      <w:sz w:val="24"/>
      <w:szCs w:val="24"/>
    </w:rPr>
  </w:style>
  <w:style w:type="paragraph" w:styleId="Caption">
    <w:name w:val="caption"/>
    <w:basedOn w:val="Normal"/>
    <w:next w:val="Normal"/>
    <w:qFormat/>
    <w:rsid w:val="00607E2F"/>
    <w:pPr>
      <w:suppressAutoHyphens/>
      <w:spacing w:before="120" w:after="120" w:line="240" w:lineRule="auto"/>
    </w:pPr>
    <w:rPr>
      <w:rFonts w:ascii="New York" w:eastAsia="-moz-fixed" w:hAnsi="New York" w:cs="New York"/>
      <w:b/>
      <w:bCs/>
      <w:sz w:val="20"/>
      <w:szCs w:val="20"/>
      <w:lang w:eastAsia="ar-SA"/>
    </w:rPr>
  </w:style>
  <w:style w:type="character" w:styleId="Strong">
    <w:name w:val="Strong"/>
    <w:basedOn w:val="DefaultParagraphFont"/>
    <w:uiPriority w:val="22"/>
    <w:qFormat/>
    <w:rsid w:val="0059057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0"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193B6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5001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1769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ListParagraph">
    <w:name w:val="List Paragraph"/>
    <w:basedOn w:val="Normal"/>
    <w:uiPriority w:val="34"/>
    <w:qFormat/>
    <w:rsid w:val="0025001E"/>
    <w:pPr>
      <w:ind w:left="720"/>
      <w:contextualSpacing/>
    </w:pPr>
  </w:style>
  <w:style w:type="character" w:customStyle="1" w:styleId="Heading2Char">
    <w:name w:val="Heading 2 Char"/>
    <w:basedOn w:val="DefaultParagraphFont"/>
    <w:link w:val="Heading2"/>
    <w:uiPriority w:val="9"/>
    <w:rsid w:val="0025001E"/>
    <w:rPr>
      <w:rFonts w:asciiTheme="majorHAnsi" w:eastAsiaTheme="majorEastAsia" w:hAnsiTheme="majorHAnsi" w:cstheme="majorBidi"/>
      <w:b/>
      <w:bCs/>
      <w:color w:val="4F81BD" w:themeColor="accent1"/>
      <w:sz w:val="26"/>
      <w:szCs w:val="26"/>
    </w:rPr>
  </w:style>
  <w:style w:type="paragraph" w:styleId="FootnoteText">
    <w:name w:val="footnote text"/>
    <w:aliases w:val="Footnote ak,Footnote Text Char Char Char Char,FA,FA Fußnotentext,Footnote Text Char Char,Footnote Text Char Char Char Char Char Char,Footnote Text Char Char Char,Footnote Text Char4,Footnote Text Char1 Char,Char,Footnote Text Char2,FA1,FA2"/>
    <w:basedOn w:val="Normal"/>
    <w:link w:val="FootnoteTextChar"/>
    <w:uiPriority w:val="99"/>
    <w:qFormat/>
    <w:rsid w:val="0025001E"/>
    <w:pPr>
      <w:spacing w:line="240" w:lineRule="auto"/>
    </w:pPr>
    <w:rPr>
      <w:rFonts w:eastAsia="Cambria"/>
    </w:rPr>
  </w:style>
  <w:style w:type="character" w:customStyle="1" w:styleId="FootnoteTextChar">
    <w:name w:val="Footnote Text Char"/>
    <w:aliases w:val="Footnote ak Char,Footnote Text Char Char Char Char Char,FA Char,FA Fußnotentext Char,Footnote Text Char Char Char1,Footnote Text Char Char Char Char Char Char Char,Footnote Text Char Char Char Char1,Footnote Text Char4 Char,Char Char"/>
    <w:basedOn w:val="DefaultParagraphFont"/>
    <w:link w:val="FootnoteText"/>
    <w:uiPriority w:val="99"/>
    <w:rsid w:val="0025001E"/>
    <w:rPr>
      <w:rFonts w:ascii="Times New Roman" w:eastAsia="Cambria" w:hAnsi="Times New Roman" w:cs="Times New Roman"/>
      <w:sz w:val="24"/>
      <w:szCs w:val="24"/>
    </w:rPr>
  </w:style>
  <w:style w:type="character" w:styleId="FootnoteReference">
    <w:name w:val="footnote reference"/>
    <w:basedOn w:val="DefaultParagraphFont"/>
    <w:rsid w:val="0025001E"/>
    <w:rPr>
      <w:vertAlign w:val="superscript"/>
    </w:rPr>
  </w:style>
  <w:style w:type="paragraph" w:customStyle="1" w:styleId="Default">
    <w:name w:val="Default"/>
    <w:rsid w:val="0025001E"/>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rsid w:val="0025001E"/>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25001E"/>
    <w:rPr>
      <w:rFonts w:ascii="-moz-fixed" w:eastAsia="-moz-fixed" w:hAnsi="-moz-fixed" w:cs="-moz-fixed"/>
      <w:sz w:val="24"/>
      <w:szCs w:val="20"/>
      <w:lang w:eastAsia="ar-SA"/>
    </w:rPr>
  </w:style>
  <w:style w:type="character" w:styleId="FollowedHyperlink">
    <w:name w:val="FollowedHyperlink"/>
    <w:basedOn w:val="DefaultParagraphFont"/>
    <w:uiPriority w:val="99"/>
    <w:semiHidden/>
    <w:unhideWhenUsed/>
    <w:rsid w:val="0025001E"/>
    <w:rPr>
      <w:color w:val="800080" w:themeColor="followedHyperlink"/>
      <w:u w:val="single"/>
    </w:rPr>
  </w:style>
  <w:style w:type="table" w:styleId="TableGrid">
    <w:name w:val="Table Grid"/>
    <w:basedOn w:val="TableNormal"/>
    <w:uiPriority w:val="59"/>
    <w:rsid w:val="00250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5001E"/>
    <w:pPr>
      <w:suppressAutoHyphens/>
      <w:spacing w:before="100" w:after="100" w:line="240" w:lineRule="auto"/>
    </w:pPr>
    <w:rPr>
      <w:rFonts w:ascii="-moz-fixed" w:eastAsia="-moz-fixed" w:hAnsi="-moz-fixed" w:cs="-moz-fixed"/>
      <w:lang w:eastAsia="ar-SA"/>
    </w:rPr>
  </w:style>
  <w:style w:type="character" w:customStyle="1" w:styleId="Heading3Char">
    <w:name w:val="Heading 3 Char"/>
    <w:basedOn w:val="DefaultParagraphFont"/>
    <w:link w:val="Heading3"/>
    <w:uiPriority w:val="9"/>
    <w:semiHidden/>
    <w:rsid w:val="00617699"/>
    <w:rPr>
      <w:rFonts w:asciiTheme="majorHAnsi" w:eastAsiaTheme="majorEastAsia" w:hAnsiTheme="majorHAnsi" w:cstheme="majorBidi"/>
      <w:b/>
      <w:bCs/>
      <w:color w:val="4F81BD" w:themeColor="accent1"/>
      <w:sz w:val="24"/>
      <w:szCs w:val="24"/>
    </w:rPr>
  </w:style>
  <w:style w:type="paragraph" w:styleId="CommentText">
    <w:name w:val="annotation text"/>
    <w:basedOn w:val="Normal"/>
    <w:link w:val="CommentTextChar"/>
    <w:rsid w:val="00617699"/>
    <w:pPr>
      <w:suppressAutoHyphens/>
      <w:spacing w:line="240" w:lineRule="auto"/>
    </w:pPr>
    <w:rPr>
      <w:rFonts w:ascii="-moz-fixed" w:eastAsia="-moz-fixed" w:hAnsi="-moz-fixed" w:cs="-moz-fixed"/>
      <w:sz w:val="20"/>
      <w:szCs w:val="20"/>
      <w:lang w:eastAsia="ar-SA"/>
    </w:rPr>
  </w:style>
  <w:style w:type="character" w:customStyle="1" w:styleId="CommentTextChar">
    <w:name w:val="Comment Text Char"/>
    <w:basedOn w:val="DefaultParagraphFont"/>
    <w:link w:val="CommentText"/>
    <w:rsid w:val="00617699"/>
    <w:rPr>
      <w:rFonts w:ascii="-moz-fixed" w:eastAsia="-moz-fixed" w:hAnsi="-moz-fixed" w:cs="-moz-fixed"/>
      <w:sz w:val="20"/>
      <w:szCs w:val="20"/>
      <w:lang w:eastAsia="ar-SA"/>
    </w:rPr>
  </w:style>
  <w:style w:type="character" w:customStyle="1" w:styleId="apple-converted-space">
    <w:name w:val="apple-converted-space"/>
    <w:basedOn w:val="DefaultParagraphFont"/>
    <w:rsid w:val="0054296B"/>
  </w:style>
  <w:style w:type="paragraph" w:styleId="BodyText">
    <w:name w:val="Body Text"/>
    <w:basedOn w:val="Normal"/>
    <w:link w:val="BodyTextChar"/>
    <w:uiPriority w:val="99"/>
    <w:unhideWhenUsed/>
    <w:rsid w:val="0077438E"/>
    <w:pPr>
      <w:spacing w:after="120"/>
    </w:pPr>
  </w:style>
  <w:style w:type="character" w:customStyle="1" w:styleId="BodyTextChar">
    <w:name w:val="Body Text Char"/>
    <w:basedOn w:val="DefaultParagraphFont"/>
    <w:link w:val="BodyText"/>
    <w:uiPriority w:val="99"/>
    <w:rsid w:val="0077438E"/>
    <w:rPr>
      <w:rFonts w:ascii="Times New Roman" w:hAnsi="Times New Roman" w:cs="Times New Roman"/>
      <w:sz w:val="24"/>
      <w:szCs w:val="24"/>
    </w:rPr>
  </w:style>
  <w:style w:type="character" w:customStyle="1" w:styleId="fontstyle21">
    <w:name w:val="fontstyle21"/>
    <w:rsid w:val="0077438E"/>
    <w:rPr>
      <w:rFonts w:ascii="AdvGulliv-R" w:hAnsi="AdvGulliv-R" w:hint="default"/>
      <w:b w:val="0"/>
      <w:bCs w:val="0"/>
      <w:i w:val="0"/>
      <w:iCs w:val="0"/>
      <w:color w:val="000000"/>
      <w:sz w:val="14"/>
      <w:szCs w:val="14"/>
    </w:rPr>
  </w:style>
  <w:style w:type="character" w:customStyle="1" w:styleId="e">
    <w:name w:val="e"/>
    <w:basedOn w:val="DefaultParagraphFont"/>
    <w:rsid w:val="0077438E"/>
  </w:style>
  <w:style w:type="character" w:customStyle="1" w:styleId="FootnoteCharacters">
    <w:name w:val="Footnote Characters"/>
    <w:rsid w:val="00C24985"/>
    <w:rPr>
      <w:vertAlign w:val="superscript"/>
    </w:rPr>
  </w:style>
  <w:style w:type="character" w:customStyle="1" w:styleId="Heading1Char">
    <w:name w:val="Heading 1 Char"/>
    <w:basedOn w:val="DefaultParagraphFont"/>
    <w:link w:val="Heading1"/>
    <w:uiPriority w:val="9"/>
    <w:rsid w:val="00193B6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193B64"/>
    <w:pPr>
      <w:outlineLvl w:val="9"/>
    </w:pPr>
    <w:rPr>
      <w:lang w:eastAsia="ja-JP"/>
    </w:rPr>
  </w:style>
  <w:style w:type="paragraph" w:styleId="TOC2">
    <w:name w:val="toc 2"/>
    <w:basedOn w:val="Normal"/>
    <w:next w:val="Normal"/>
    <w:autoRedefine/>
    <w:uiPriority w:val="39"/>
    <w:unhideWhenUsed/>
    <w:rsid w:val="00193B64"/>
    <w:pPr>
      <w:spacing w:after="100"/>
      <w:ind w:left="240"/>
    </w:pPr>
  </w:style>
  <w:style w:type="paragraph" w:styleId="TOC3">
    <w:name w:val="toc 3"/>
    <w:basedOn w:val="Normal"/>
    <w:next w:val="Normal"/>
    <w:autoRedefine/>
    <w:uiPriority w:val="39"/>
    <w:unhideWhenUsed/>
    <w:rsid w:val="00193B64"/>
    <w:pPr>
      <w:spacing w:after="100"/>
      <w:ind w:left="480"/>
    </w:pPr>
  </w:style>
  <w:style w:type="paragraph" w:styleId="Subtitle">
    <w:name w:val="Subtitle"/>
    <w:basedOn w:val="Normal"/>
    <w:next w:val="Normal"/>
    <w:link w:val="SubtitleChar"/>
    <w:uiPriority w:val="11"/>
    <w:qFormat/>
    <w:rsid w:val="007F02F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7F02FF"/>
    <w:rPr>
      <w:rFonts w:asciiTheme="majorHAnsi" w:eastAsiaTheme="majorEastAsia" w:hAnsiTheme="majorHAnsi" w:cstheme="majorBidi"/>
      <w:i/>
      <w:iCs/>
      <w:color w:val="4F81BD" w:themeColor="accent1"/>
      <w:spacing w:val="15"/>
      <w:sz w:val="24"/>
      <w:szCs w:val="24"/>
    </w:rPr>
  </w:style>
  <w:style w:type="paragraph" w:styleId="Caption">
    <w:name w:val="caption"/>
    <w:basedOn w:val="Normal"/>
    <w:next w:val="Normal"/>
    <w:qFormat/>
    <w:rsid w:val="00607E2F"/>
    <w:pPr>
      <w:suppressAutoHyphens/>
      <w:spacing w:before="120" w:after="120" w:line="240" w:lineRule="auto"/>
    </w:pPr>
    <w:rPr>
      <w:rFonts w:ascii="New York" w:eastAsia="-moz-fixed" w:hAnsi="New York" w:cs="New York"/>
      <w:b/>
      <w:bCs/>
      <w:sz w:val="20"/>
      <w:szCs w:val="20"/>
      <w:lang w:eastAsia="ar-SA"/>
    </w:rPr>
  </w:style>
  <w:style w:type="character" w:styleId="Strong">
    <w:name w:val="Strong"/>
    <w:basedOn w:val="DefaultParagraphFont"/>
    <w:uiPriority w:val="22"/>
    <w:qFormat/>
    <w:rsid w:val="005905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5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fsl.orst.edu/cfer/snags/bibliography.pdf" TargetMode="External"/><Relationship Id="rId299" Type="http://schemas.openxmlformats.org/officeDocument/2006/relationships/hyperlink" Target="mailto:dh@oregonwild.org" TargetMode="External"/><Relationship Id="rId21" Type="http://schemas.openxmlformats.org/officeDocument/2006/relationships/hyperlink" Target="https://apps.fs.usda.gov/r6_decaid/legacy/decaid/queries/emcf-e-cscds-bmt/lrgr-trs/narrative.html" TargetMode="External"/><Relationship Id="rId63" Type="http://schemas.openxmlformats.org/officeDocument/2006/relationships/hyperlink" Target="http://web.archive.org/web/20060708035905/http://www.nwhi.org/inc/data/GISdata/docs/chapter24.pdf" TargetMode="External"/><Relationship Id="rId159" Type="http://schemas.openxmlformats.org/officeDocument/2006/relationships/hyperlink" Target="https://www.fs.fed.us/database/feis/plants/tree/abigra/all.html" TargetMode="External"/><Relationship Id="rId170" Type="http://schemas.openxmlformats.org/officeDocument/2006/relationships/hyperlink" Target="https://www.fs.fed.us/database/feis/plants/tree/abicon/all.html" TargetMode="External"/><Relationship Id="rId226" Type="http://schemas.openxmlformats.org/officeDocument/2006/relationships/hyperlink" Target="https://www.fs.fed.us/rm/pubs_journals/2019/rmrs_2019_barros_a001.pdf" TargetMode="External"/><Relationship Id="rId268" Type="http://schemas.openxmlformats.org/officeDocument/2006/relationships/hyperlink" Target="http://www.scribd.com/doc/181401520/Open-Letter-to-Members-of-Congress-from-250-Scientists-Concerned-about-Post-fire-Logging-October-30-2013" TargetMode="External"/><Relationship Id="rId32" Type="http://schemas.openxmlformats.org/officeDocument/2006/relationships/hyperlink" Target="https://www.dropbox.com/s/5gofctjdglx5t3t/dead%20wood%20slides%202012.pdf" TargetMode="External"/><Relationship Id="rId74" Type="http://schemas.openxmlformats.org/officeDocument/2006/relationships/hyperlink" Target="http://www.fs.fed.us/psw/publications/documents/gtr-181/" TargetMode="External"/><Relationship Id="rId128" Type="http://schemas.openxmlformats.org/officeDocument/2006/relationships/hyperlink" Target="http://troutunlimitedblog.com/large-woody-debris-makes-for-fishy-rivers/" TargetMode="External"/><Relationship Id="rId5" Type="http://schemas.openxmlformats.org/officeDocument/2006/relationships/settings" Target="settings.xml"/><Relationship Id="rId181" Type="http://schemas.openxmlformats.org/officeDocument/2006/relationships/hyperlink" Target="https://www.fs.fed.us/database/feis/plants/tree/abicon/all.html" TargetMode="External"/><Relationship Id="rId237" Type="http://schemas.openxmlformats.org/officeDocument/2006/relationships/hyperlink" Target="http://mtpr.org/post/forest-ecologist-comments-senator-daines-fire-call" TargetMode="External"/><Relationship Id="rId279" Type="http://schemas.openxmlformats.org/officeDocument/2006/relationships/hyperlink" Target="http://web.archive.org/web/20040107135236/http://www.onda.org/library/papers/Livestock_Grazing_and_Fire.pdf" TargetMode="External"/><Relationship Id="rId43" Type="http://schemas.openxmlformats.org/officeDocument/2006/relationships/hyperlink" Target="https://doi.org/10.1111/1365-2745.13353" TargetMode="External"/><Relationship Id="rId139" Type="http://schemas.openxmlformats.org/officeDocument/2006/relationships/hyperlink" Target="https://www.fs.fed.us/database/feis/plants/tree/abigra/all.html" TargetMode="External"/><Relationship Id="rId290" Type="http://schemas.openxmlformats.org/officeDocument/2006/relationships/hyperlink" Target="https://doi.org/10.3389/ffgc.2019.00027" TargetMode="External"/><Relationship Id="rId304" Type="http://schemas.openxmlformats.org/officeDocument/2006/relationships/hyperlink" Target="https://cara.ecosystem-management.org/Public/Letter/2612870?project=58050" TargetMode="External"/><Relationship Id="rId85" Type="http://schemas.openxmlformats.org/officeDocument/2006/relationships/image" Target="media/image10.png"/><Relationship Id="rId150" Type="http://schemas.openxmlformats.org/officeDocument/2006/relationships/hyperlink" Target="https://www.fs.fed.us/database/feis/plants/tree/abigra/all.html" TargetMode="External"/><Relationship Id="rId192" Type="http://schemas.openxmlformats.org/officeDocument/2006/relationships/hyperlink" Target="https://www.fs.fed.us/database/feis/plants/tree/abicon/all.html" TargetMode="External"/><Relationship Id="rId206" Type="http://schemas.openxmlformats.org/officeDocument/2006/relationships/hyperlink" Target="https://www.fs.fed.us/database/feis/plants/tree/abicon/all.html" TargetMode="External"/><Relationship Id="rId248" Type="http://schemas.openxmlformats.org/officeDocument/2006/relationships/hyperlink" Target="https://www.fs.usda.gov/nfs/11558/www/nepa/101283_FSPLT3_4264365.pdf" TargetMode="External"/><Relationship Id="rId12" Type="http://schemas.openxmlformats.org/officeDocument/2006/relationships/hyperlink" Target="https://cara.ecosystem-management.org/Public/CommentInput?project=58050" TargetMode="External"/><Relationship Id="rId108" Type="http://schemas.openxmlformats.org/officeDocument/2006/relationships/hyperlink" Target="http://a123.g.akamai.net/7/123/11558/abc123/forestservic.download.akamai.com/11558/www/nepa/53012_FSPLT2_055455.pdf" TargetMode="External"/><Relationship Id="rId54" Type="http://schemas.openxmlformats.org/officeDocument/2006/relationships/hyperlink" Target="https://www.jstor.org/stable/3809474?seq=1" TargetMode="External"/><Relationship Id="rId96" Type="http://schemas.openxmlformats.org/officeDocument/2006/relationships/hyperlink" Target="http://web.archive.org/web/20021122150003/http:/www.fs.fed.us/r6/nr/wildlife/animalinn/basicneed.htm" TargetMode="External"/><Relationship Id="rId161" Type="http://schemas.openxmlformats.org/officeDocument/2006/relationships/hyperlink" Target="https://www.fs.fed.us/database/feis/plants/tree/abigra/all.html" TargetMode="External"/><Relationship Id="rId217" Type="http://schemas.openxmlformats.org/officeDocument/2006/relationships/hyperlink" Target="http://www.forestsandrangelands.gov/resources/reports/documents/2001/8-20-en.pdf" TargetMode="External"/><Relationship Id="rId259" Type="http://schemas.openxmlformats.org/officeDocument/2006/relationships/hyperlink" Target="http://www.econw.com/media/ap_files/FR2-Seeing-Forests-For-Green_ECONorthwest.pdf" TargetMode="External"/><Relationship Id="rId23" Type="http://schemas.openxmlformats.org/officeDocument/2006/relationships/hyperlink" Target="http://www.pnas.org/cgi/doi/10.1073/pnas.1617464114" TargetMode="External"/><Relationship Id="rId119" Type="http://schemas.openxmlformats.org/officeDocument/2006/relationships/hyperlink" Target="https://partnersinforestry.com/Documents/2016%20The%20ecology,%20distribution,%20conservation%20and%20management%20of%20large%20old%20trees%20-%20BiolRev%20DOI.pdf" TargetMode="External"/><Relationship Id="rId270" Type="http://schemas.openxmlformats.org/officeDocument/2006/relationships/hyperlink" Target="http://web.archive.org/web/20060914032259/http:/oregonstate.edu/dept/ncs/newsarch/2001/Oct01/assess.htm" TargetMode="External"/><Relationship Id="rId44" Type="http://schemas.openxmlformats.org/officeDocument/2006/relationships/hyperlink" Target="https://web.archive.org/web/20161221104651/http://www.icbemp.gov/pdfs/sdeis/volume2/appendix17a.pdf" TargetMode="External"/><Relationship Id="rId65" Type="http://schemas.openxmlformats.org/officeDocument/2006/relationships/hyperlink" Target="https://www.fs.fed.us/pnw/pubs/pnw_gtr405.pdf" TargetMode="External"/><Relationship Id="rId86" Type="http://schemas.openxmlformats.org/officeDocument/2006/relationships/image" Target="media/image11.png"/><Relationship Id="rId130" Type="http://schemas.openxmlformats.org/officeDocument/2006/relationships/hyperlink" Target="https://conbio.onlinelibrary.wiley.com/action/showCitFormats?doi=10.1111%2Fcobi.12341" TargetMode="External"/><Relationship Id="rId151" Type="http://schemas.openxmlformats.org/officeDocument/2006/relationships/hyperlink" Target="https://www.fs.fed.us/database/feis/plants/tree/abigra/all.html" TargetMode="External"/><Relationship Id="rId172" Type="http://schemas.openxmlformats.org/officeDocument/2006/relationships/hyperlink" Target="https://www.fs.fed.us/database/feis/plants/tree/abicon/all.html" TargetMode="External"/><Relationship Id="rId193" Type="http://schemas.openxmlformats.org/officeDocument/2006/relationships/hyperlink" Target="https://www.fs.fed.us/database/feis/plants/tree/abicon/all.html" TargetMode="External"/><Relationship Id="rId207" Type="http://schemas.openxmlformats.org/officeDocument/2006/relationships/hyperlink" Target="https://www.fs.fed.us/database/feis/plants/tree/abicon/all.html" TargetMode="External"/><Relationship Id="rId228" Type="http://schemas.openxmlformats.org/officeDocument/2006/relationships/hyperlink" Target="http://www.publish.csiro.au/?act=view_file&amp;file_id=WF11079.pdf" TargetMode="External"/><Relationship Id="rId249" Type="http://schemas.openxmlformats.org/officeDocument/2006/relationships/hyperlink" Target="http://www.pnas.org/cgi/doi/10.1073/pnas.1617464114" TargetMode="External"/><Relationship Id="rId13" Type="http://schemas.openxmlformats.org/officeDocument/2006/relationships/image" Target="media/image2.png"/><Relationship Id="rId109" Type="http://schemas.openxmlformats.org/officeDocument/2006/relationships/hyperlink" Target="http://web.archive.org/web/20060708035905/http://www.nwhi.org/inc/data/GISdata/docs/chapter24.pdf" TargetMode="External"/><Relationship Id="rId260" Type="http://schemas.openxmlformats.org/officeDocument/2006/relationships/hyperlink" Target="http://www.oregon.gov/ODF/Board/Documents/BOF/20170725/BOFMIN_20170725_ATTCH_02.pdf" TargetMode="External"/><Relationship Id="rId281" Type="http://schemas.openxmlformats.org/officeDocument/2006/relationships/hyperlink" Target="http://arjournals.annualreviews.org/doi/abs/10.1146/annurev.ecolsys.29.1.207" TargetMode="External"/><Relationship Id="rId34" Type="http://schemas.openxmlformats.org/officeDocument/2006/relationships/hyperlink" Target="http://www.fs.usda.gov/Internet/FSE_DOCUMENTS/stelprdb5428873.pdf" TargetMode="External"/><Relationship Id="rId55" Type="http://schemas.openxmlformats.org/officeDocument/2006/relationships/hyperlink" Target="https://nctc.fws.gov/topic/online-training/webinars/forest-ecology-and-management.html" TargetMode="External"/><Relationship Id="rId76" Type="http://schemas.openxmlformats.org/officeDocument/2006/relationships/hyperlink" Target="https://www.srs.fs.usda.gov/pubs/misc/agh553.pdf" TargetMode="External"/><Relationship Id="rId97" Type="http://schemas.openxmlformats.org/officeDocument/2006/relationships/hyperlink" Target="http://web.archive.org/web/20021017194337/http:/www.fs.fed.us/r6/nr/wildlife/animalinn/habitat.htm" TargetMode="External"/><Relationship Id="rId120" Type="http://schemas.openxmlformats.org/officeDocument/2006/relationships/hyperlink" Target="https://www.fs.fed.us/rm/pubs_journals/2018/rmrs_2018_lutz_j001.pdf" TargetMode="External"/><Relationship Id="rId141" Type="http://schemas.openxmlformats.org/officeDocument/2006/relationships/hyperlink" Target="https://www.fs.fed.us/database/feis/plants/tree/abigra/all.html" TargetMode="External"/><Relationship Id="rId7" Type="http://schemas.openxmlformats.org/officeDocument/2006/relationships/footnotes" Target="footnotes.xml"/><Relationship Id="rId162" Type="http://schemas.openxmlformats.org/officeDocument/2006/relationships/hyperlink" Target="https://www.fs.fed.us/database/feis/plants/tree/abigra/all.html" TargetMode="External"/><Relationship Id="rId183" Type="http://schemas.openxmlformats.org/officeDocument/2006/relationships/hyperlink" Target="https://www.fs.fed.us/database/feis/plants/tree/abicon/all.html" TargetMode="External"/><Relationship Id="rId218" Type="http://schemas.openxmlformats.org/officeDocument/2006/relationships/hyperlink" Target="http://www.fs.fed.us/pnw/pubs/pnw_gtr752.pdf" TargetMode="External"/><Relationship Id="rId239" Type="http://schemas.openxmlformats.org/officeDocument/2006/relationships/hyperlink" Target="http://www.fs.fed.us/pnw/pubs/pnw_gtr779.pdf" TargetMode="External"/><Relationship Id="rId250" Type="http://schemas.openxmlformats.org/officeDocument/2006/relationships/hyperlink" Target="https://headwaterseconomics.org/wp-content/uploads/Adapt_To_More_Wildfire.pdf" TargetMode="External"/><Relationship Id="rId271" Type="http://schemas.openxmlformats.org/officeDocument/2006/relationships/hyperlink" Target="http://fate.nmfs.noaa.gov/documents/Publications/Black_et_al_2008_Ecoscience.pdf" TargetMode="External"/><Relationship Id="rId292" Type="http://schemas.openxmlformats.org/officeDocument/2006/relationships/hyperlink" Target="http://dx.doi.org/10.1098/rstb.2019.0121" TargetMode="External"/><Relationship Id="rId306" Type="http://schemas.openxmlformats.org/officeDocument/2006/relationships/header" Target="header1.xml"/><Relationship Id="rId24" Type="http://schemas.openxmlformats.org/officeDocument/2006/relationships/hyperlink" Target="https://headwaterseconomics.org/wp-content/uploads/Adapt_To_More_Wildfire.pdf" TargetMode="External"/><Relationship Id="rId45" Type="http://schemas.openxmlformats.org/officeDocument/2006/relationships/hyperlink" Target="https://fs.usda.gov/Internet/FSE_DOCUMENTS/fsbdev7_016034.pdf" TargetMode="External"/><Relationship Id="rId66" Type="http://schemas.openxmlformats.org/officeDocument/2006/relationships/hyperlink" Target="http://www.fs.fed.us/psw/publications/documents/gtr-181/" TargetMode="External"/><Relationship Id="rId87" Type="http://schemas.openxmlformats.org/officeDocument/2006/relationships/hyperlink" Target="https://www.fs.fed.us/pnw/pubs/pnw_gtr907.pdf" TargetMode="External"/><Relationship Id="rId110" Type="http://schemas.openxmlformats.org/officeDocument/2006/relationships/hyperlink" Target="http://web.archive.org/web/20060904175645/http://avianscience.dbs.umt.edu/documents/hutto_conbio_2006.pdf" TargetMode="External"/><Relationship Id="rId131" Type="http://schemas.openxmlformats.org/officeDocument/2006/relationships/hyperlink" Target="https://www.fs.usda.gov/detail/r6/landmanagement/planning/?cid=FSEPRD730557" TargetMode="External"/><Relationship Id="rId152" Type="http://schemas.openxmlformats.org/officeDocument/2006/relationships/hyperlink" Target="https://www.fs.fed.us/database/feis/plants/tree/abigra/all.html" TargetMode="External"/><Relationship Id="rId173" Type="http://schemas.openxmlformats.org/officeDocument/2006/relationships/hyperlink" Target="https://www.fs.fed.us/database/feis/plants/tree/abicon/all.html" TargetMode="External"/><Relationship Id="rId194" Type="http://schemas.openxmlformats.org/officeDocument/2006/relationships/hyperlink" Target="https://www.fs.fed.us/database/feis/plants/tree/abicon/all.html" TargetMode="External"/><Relationship Id="rId208" Type="http://schemas.openxmlformats.org/officeDocument/2006/relationships/hyperlink" Target="https://web.archive.org/web/20130214220819/http://www.mtbs.gov/reports/MTBS_pnw-psw_final.pdf" TargetMode="External"/><Relationship Id="rId229" Type="http://schemas.openxmlformats.org/officeDocument/2006/relationships/hyperlink" Target="http://mtpr.org/post/forest-ecologist-comments-senator-daines-fire-call" TargetMode="External"/><Relationship Id="rId240" Type="http://schemas.openxmlformats.org/officeDocument/2006/relationships/hyperlink" Target="https://doi.org/10.1002/eap.1710" TargetMode="External"/><Relationship Id="rId261" Type="http://schemas.openxmlformats.org/officeDocument/2006/relationships/hyperlink" Target="https://oregoneconomicanalysis.com/2015/09/08/migration-in-defense-of-californians/" TargetMode="External"/><Relationship Id="rId14" Type="http://schemas.openxmlformats.org/officeDocument/2006/relationships/hyperlink" Target="https://ems-team.usda.gov/sites/fs-emnepa-sd/Lists/eMNEPASupport/Item/newifs.aspx" TargetMode="External"/><Relationship Id="rId35" Type="http://schemas.openxmlformats.org/officeDocument/2006/relationships/image" Target="media/image5.jpeg"/><Relationship Id="rId56" Type="http://schemas.openxmlformats.org/officeDocument/2006/relationships/hyperlink" Target="https://www.jstor.org/stable/3809474?seq=1" TargetMode="External"/><Relationship Id="rId77" Type="http://schemas.openxmlformats.org/officeDocument/2006/relationships/hyperlink" Target="https://www.dropbox.com/s/5gofctjdglx5t3t/dead%20wood%20slides%202012.pdf" TargetMode="External"/><Relationship Id="rId100" Type="http://schemas.openxmlformats.org/officeDocument/2006/relationships/hyperlink" Target="http://www.fs.fed.us/pnw/pubs/journals/pnw_2008_wisdom001.pdf" TargetMode="External"/><Relationship Id="rId282" Type="http://schemas.openxmlformats.org/officeDocument/2006/relationships/hyperlink" Target="http://www.fs.fed.us/pnw/pubs/gtr509.pdf" TargetMode="External"/><Relationship Id="rId8" Type="http://schemas.openxmlformats.org/officeDocument/2006/relationships/endnotes" Target="endnotes.xml"/><Relationship Id="rId98" Type="http://schemas.openxmlformats.org/officeDocument/2006/relationships/hyperlink" Target="http://web.archive.org/web/20041107222037/http://www.fs.fed.us/pnw/pubs/journals/ohmann-snagabundance.pdf" TargetMode="External"/><Relationship Id="rId121" Type="http://schemas.openxmlformats.org/officeDocument/2006/relationships/hyperlink" Target="https://pdfs.semanticscholar.org/6370/916128ae1725586f26ec1c177b5a6fb70fa8.pdf" TargetMode="External"/><Relationship Id="rId142" Type="http://schemas.openxmlformats.org/officeDocument/2006/relationships/hyperlink" Target="https://www.fs.fed.us/database/feis/plants/tree/abigra/all.html" TargetMode="External"/><Relationship Id="rId163" Type="http://schemas.openxmlformats.org/officeDocument/2006/relationships/hyperlink" Target="https://www.fs.fed.us/database/feis/plants/tree/abigra/all.html" TargetMode="External"/><Relationship Id="rId184" Type="http://schemas.openxmlformats.org/officeDocument/2006/relationships/hyperlink" Target="https://www.fs.fed.us/database/feis/plants/tree/abicon/all.html" TargetMode="External"/><Relationship Id="rId219" Type="http://schemas.openxmlformats.org/officeDocument/2006/relationships/hyperlink" Target="http://www.pnas.org/cgi/doi/10.1073/pnas.1617464114" TargetMode="External"/><Relationship Id="rId230" Type="http://schemas.openxmlformats.org/officeDocument/2006/relationships/hyperlink" Target="https://www.nature.com/articles/s41598-019-39284-1" TargetMode="External"/><Relationship Id="rId251" Type="http://schemas.openxmlformats.org/officeDocument/2006/relationships/hyperlink" Target="https://ideas.repec.org/p/wil/wileco/2003-07.html" TargetMode="External"/><Relationship Id="rId25" Type="http://schemas.openxmlformats.org/officeDocument/2006/relationships/hyperlink" Target="http://www.fs.fed.us/pnw/pubs/pnw_gtr752.pdf" TargetMode="External"/><Relationship Id="rId46" Type="http://schemas.openxmlformats.org/officeDocument/2006/relationships/hyperlink" Target="http://web.archive.org/web/20060708035905/http://www.nwhi.org/inc/data/GISdata/docs/chapter24.pdf" TargetMode="External"/><Relationship Id="rId67" Type="http://schemas.openxmlformats.org/officeDocument/2006/relationships/hyperlink" Target="http://www.for.gov.bc.ca/hre/deadwood/DTrol.htm" TargetMode="External"/><Relationship Id="rId272" Type="http://schemas.openxmlformats.org/officeDocument/2006/relationships/hyperlink" Target="http://nature.ly/dryforests" TargetMode="External"/><Relationship Id="rId293" Type="http://schemas.openxmlformats.org/officeDocument/2006/relationships/hyperlink" Target="http://dx.doi.org/10.1098/rstb.2019.0128" TargetMode="External"/><Relationship Id="rId307" Type="http://schemas.openxmlformats.org/officeDocument/2006/relationships/footer" Target="footer2.xml"/><Relationship Id="rId88" Type="http://schemas.openxmlformats.org/officeDocument/2006/relationships/hyperlink" Target="http://www.forestresourceinstitute.com/images/or_for_protect_laws_2011.pdf" TargetMode="External"/><Relationship Id="rId111" Type="http://schemas.openxmlformats.org/officeDocument/2006/relationships/hyperlink" Target="https://www.fs.fed.us/pnw/sciencef/scifi199.pdf" TargetMode="External"/><Relationship Id="rId132" Type="http://schemas.openxmlformats.org/officeDocument/2006/relationships/hyperlink" Target="https://www.fs.fed.us/database/feis/plants/tree/abigra/all.html" TargetMode="External"/><Relationship Id="rId153" Type="http://schemas.openxmlformats.org/officeDocument/2006/relationships/hyperlink" Target="https://www.fs.fed.us/database/feis/plants/tree/abigra/all.html" TargetMode="External"/><Relationship Id="rId174" Type="http://schemas.openxmlformats.org/officeDocument/2006/relationships/hyperlink" Target="https://www.fs.fed.us/database/feis/plants/tree/abicon/all.html" TargetMode="External"/><Relationship Id="rId195" Type="http://schemas.openxmlformats.org/officeDocument/2006/relationships/hyperlink" Target="https://www.fs.fed.us/database/feis/plants/tree/abicon/all.html" TargetMode="External"/><Relationship Id="rId209" Type="http://schemas.openxmlformats.org/officeDocument/2006/relationships/hyperlink" Target="https://doi.org/10.5849/jof.16-067" TargetMode="External"/><Relationship Id="rId220" Type="http://schemas.openxmlformats.org/officeDocument/2006/relationships/hyperlink" Target="https://headwaterseconomics.org/wp-content/uploads/Adapt_To_More_Wildfire.pdf" TargetMode="External"/><Relationship Id="rId241" Type="http://schemas.openxmlformats.org/officeDocument/2006/relationships/hyperlink" Target="https://phys.org/news/2018-04-high-wildfire-severity-young-plantation.html" TargetMode="External"/><Relationship Id="rId15" Type="http://schemas.openxmlformats.org/officeDocument/2006/relationships/hyperlink" Target="http://courses.washington.edu/esrm315/Lectures/FranklinEarlySuccession.pdf" TargetMode="External"/><Relationship Id="rId36" Type="http://schemas.openxmlformats.org/officeDocument/2006/relationships/hyperlink" Target="https://www.fs.fed.us/pnw/pubs/pnw_gtr956.pdf" TargetMode="External"/><Relationship Id="rId57" Type="http://schemas.openxmlformats.org/officeDocument/2006/relationships/hyperlink" Target="https://apps.fs.usda.gov/r6_decaid/views/index.html" TargetMode="External"/><Relationship Id="rId262" Type="http://schemas.openxmlformats.org/officeDocument/2006/relationships/hyperlink" Target="https://www.fs.usda.gov/Internet/FSE_DOCUMENTS/fseprd730577.pdf" TargetMode="External"/><Relationship Id="rId283" Type="http://schemas.openxmlformats.org/officeDocument/2006/relationships/hyperlink" Target="http://www.fs.fed.us/pnw/pubs/gtr586.pdf" TargetMode="External"/><Relationship Id="rId78" Type="http://schemas.openxmlformats.org/officeDocument/2006/relationships/hyperlink" Target="http://www.cas.umt.edu/facultydatabase/FILES_Faculty/1152/Harris%202000%20LargeSnagRecruitment%20Western%20J.%20Appl.%20For.pdf" TargetMode="External"/><Relationship Id="rId99" Type="http://schemas.openxmlformats.org/officeDocument/2006/relationships/hyperlink" Target="http://www.fs.fed.us/psw/publications/documents/gtr-181/049_Korol.pdf" TargetMode="External"/><Relationship Id="rId101" Type="http://schemas.openxmlformats.org/officeDocument/2006/relationships/hyperlink" Target="http://caselaw.findlaw.com/us-9th-circuit/1151013.html" TargetMode="External"/><Relationship Id="rId122" Type="http://schemas.openxmlformats.org/officeDocument/2006/relationships/hyperlink" Target="http://web.archive.org/web/20060708035905/http://www.nwhi.org/inc/data/GISdata/docs/chapter24.pdf" TargetMode="External"/><Relationship Id="rId143" Type="http://schemas.openxmlformats.org/officeDocument/2006/relationships/hyperlink" Target="https://www.fs.fed.us/database/feis/plants/tree/abigra/all.html" TargetMode="External"/><Relationship Id="rId164" Type="http://schemas.openxmlformats.org/officeDocument/2006/relationships/hyperlink" Target="https://doi.org/10.2193/0022-541X(2006)70%5b207:DHOFLM%5d2.0.CO;2" TargetMode="External"/><Relationship Id="rId185" Type="http://schemas.openxmlformats.org/officeDocument/2006/relationships/hyperlink" Target="https://www.fs.fed.us/database/feis/plants/tree/abicon/all.html" TargetMode="External"/><Relationship Id="rId9" Type="http://schemas.openxmlformats.org/officeDocument/2006/relationships/hyperlink" Target="mailto:SM.FS.EScreens21@usda.gov" TargetMode="External"/><Relationship Id="rId210" Type="http://schemas.openxmlformats.org/officeDocument/2006/relationships/hyperlink" Target="https://www.fs.fed.us/pnw/pubs/journals/pnw_2017_vaillant001.pdf" TargetMode="External"/><Relationship Id="rId26" Type="http://schemas.openxmlformats.org/officeDocument/2006/relationships/hyperlink" Target="http://www.pnas.org/cgi/doi/10.1073/pnas.1617464114" TargetMode="External"/><Relationship Id="rId231" Type="http://schemas.openxmlformats.org/officeDocument/2006/relationships/hyperlink" Target="https://doi.org/10.1038/s41598-019-39284-1" TargetMode="External"/><Relationship Id="rId252" Type="http://schemas.openxmlformats.org/officeDocument/2006/relationships/hyperlink" Target="https://muse.jhu.edu/book/2135" TargetMode="External"/><Relationship Id="rId273" Type="http://schemas.openxmlformats.org/officeDocument/2006/relationships/hyperlink" Target="https://www.sciencedaily.com/releases/2019/06/190618174358.htm" TargetMode="External"/><Relationship Id="rId294" Type="http://schemas.openxmlformats.org/officeDocument/2006/relationships/hyperlink" Target="http://66.162.129.14/tech/94-4report.pdf" TargetMode="External"/><Relationship Id="rId308" Type="http://schemas.openxmlformats.org/officeDocument/2006/relationships/fontTable" Target="fontTable.xml"/><Relationship Id="rId47" Type="http://schemas.openxmlformats.org/officeDocument/2006/relationships/hyperlink" Target="https://www.fs.fed.us/pnw/pubs/pnw_gtr907.pdf" TargetMode="External"/><Relationship Id="rId68" Type="http://schemas.openxmlformats.org/officeDocument/2006/relationships/hyperlink" Target="http://www.fs.fed.us/wildecology/decaid/decaid_background/chapter24cwb.pdf" TargetMode="External"/><Relationship Id="rId89" Type="http://schemas.openxmlformats.org/officeDocument/2006/relationships/hyperlink" Target="http://www.fs.fed.us/psw/publications/documents/gtr-181/" TargetMode="External"/><Relationship Id="rId112" Type="http://schemas.openxmlformats.org/officeDocument/2006/relationships/hyperlink" Target="https://www.treesearch.fs.fed.us/pubs/49102" TargetMode="External"/><Relationship Id="rId133" Type="http://schemas.openxmlformats.org/officeDocument/2006/relationships/hyperlink" Target="https://www.fs.fed.us/database/feis/plants/tree/abigra/all.html" TargetMode="External"/><Relationship Id="rId154" Type="http://schemas.openxmlformats.org/officeDocument/2006/relationships/hyperlink" Target="https://www.fs.fed.us/database/feis/plants/tree/abigra/all.html" TargetMode="External"/><Relationship Id="rId175" Type="http://schemas.openxmlformats.org/officeDocument/2006/relationships/hyperlink" Target="https://www.fs.fed.us/database/feis/plants/tree/abicon/all.html" TargetMode="External"/><Relationship Id="rId196" Type="http://schemas.openxmlformats.org/officeDocument/2006/relationships/hyperlink" Target="https://www.fs.fed.us/database/feis/plants/tree/abicon/all.html" TargetMode="External"/><Relationship Id="rId200" Type="http://schemas.openxmlformats.org/officeDocument/2006/relationships/hyperlink" Target="https://www.fs.fed.us/database/feis/plants/tree/abicon/all.html" TargetMode="External"/><Relationship Id="rId16" Type="http://schemas.openxmlformats.org/officeDocument/2006/relationships/hyperlink" Target="http://web.archive.org/web/20060708035905/http://www.nwhi.org/inc/data/GISdata/docs/chapter24.pdf" TargetMode="External"/><Relationship Id="rId221" Type="http://schemas.openxmlformats.org/officeDocument/2006/relationships/hyperlink" Target="https://doi.org/10.1088/1748-9326/aa6b10" TargetMode="External"/><Relationship Id="rId242" Type="http://schemas.openxmlformats.org/officeDocument/2006/relationships/hyperlink" Target="http://www.fs.fed.us/pnw/pubs/pnw_gtr752.pdf" TargetMode="External"/><Relationship Id="rId263" Type="http://schemas.openxmlformats.org/officeDocument/2006/relationships/hyperlink" Target="http://web.archive.org/web/20060708035905/http://www.nwhi.org/inc/data/GISdata/docs/chapter24.pdf" TargetMode="External"/><Relationship Id="rId284" Type="http://schemas.openxmlformats.org/officeDocument/2006/relationships/hyperlink" Target="http://roadecology.ucdavis.edu/pdflib/TTP_289/W08/Trombulak%20and%20Frissell%202000.pdf" TargetMode="External"/><Relationship Id="rId37" Type="http://schemas.openxmlformats.org/officeDocument/2006/relationships/hyperlink" Target="https://doi.org/10.1111/nph.15263" TargetMode="External"/><Relationship Id="rId58" Type="http://schemas.openxmlformats.org/officeDocument/2006/relationships/hyperlink" Target="http://andykerr.net/downloads/EastsideScien.pdf" TargetMode="External"/><Relationship Id="rId79" Type="http://schemas.openxmlformats.org/officeDocument/2006/relationships/hyperlink" Target="https://www.srs.fs.usda.gov/pubs/misc/agh553.pdf" TargetMode="External"/><Relationship Id="rId102" Type="http://schemas.openxmlformats.org/officeDocument/2006/relationships/hyperlink" Target="http://caselaw.findlaw.com/us-9th-circuit/1094367.html" TargetMode="External"/><Relationship Id="rId123" Type="http://schemas.openxmlformats.org/officeDocument/2006/relationships/hyperlink" Target="https://apps.fs.usda.gov/r6_decaid/legacy/decaid/pages/Ecosystem-Processes.html" TargetMode="External"/><Relationship Id="rId144" Type="http://schemas.openxmlformats.org/officeDocument/2006/relationships/hyperlink" Target="https://www.fs.fed.us/database/feis/plants/tree/abigra/all.html" TargetMode="External"/><Relationship Id="rId90" Type="http://schemas.openxmlformats.org/officeDocument/2006/relationships/hyperlink" Target="http://www.for.gov.bc.ca/hre/deadwood/DTrol.htm" TargetMode="External"/><Relationship Id="rId165" Type="http://schemas.openxmlformats.org/officeDocument/2006/relationships/hyperlink" Target="https://173.45.252.177/docview/197680689?accountid=8021" TargetMode="External"/><Relationship Id="rId186" Type="http://schemas.openxmlformats.org/officeDocument/2006/relationships/hyperlink" Target="https://www.fs.fed.us/database/feis/plants/tree/abicon/all.html" TargetMode="External"/><Relationship Id="rId211" Type="http://schemas.openxmlformats.org/officeDocument/2006/relationships/hyperlink" Target="http://people.forestry.oregonstate.edu/richard-waring/sites/people.forestry.oregonstate.edu.richard-waring/files/publications/Law%20and%20Waring%202015.pdf" TargetMode="External"/><Relationship Id="rId232" Type="http://schemas.openxmlformats.org/officeDocument/2006/relationships/hyperlink" Target="https://news.ucmerced.edu/news/2019/scientists-simulate-forest-fire-dynamics-understand-area-burn-future-wildfires" TargetMode="External"/><Relationship Id="rId253" Type="http://schemas.openxmlformats.org/officeDocument/2006/relationships/hyperlink" Target="http://citeseerx.ist.psu.edu/viewdoc/download?doi=10.1.1.1009.3704&amp;rep=rep1&amp;type=pdf" TargetMode="External"/><Relationship Id="rId274" Type="http://schemas.openxmlformats.org/officeDocument/2006/relationships/hyperlink" Target="http://www.pnas.org/cgi/doi/10.1073/pnas.1700032114" TargetMode="External"/><Relationship Id="rId295" Type="http://schemas.openxmlformats.org/officeDocument/2006/relationships/image" Target="media/image13.png"/><Relationship Id="rId309" Type="http://schemas.openxmlformats.org/officeDocument/2006/relationships/theme" Target="theme/theme1.xml"/><Relationship Id="rId27" Type="http://schemas.openxmlformats.org/officeDocument/2006/relationships/hyperlink" Target="https://headwaterseconomics.org/wp-content/uploads/Adapt_To_More_Wildfire.pdf" TargetMode="External"/><Relationship Id="rId48" Type="http://schemas.openxmlformats.org/officeDocument/2006/relationships/hyperlink" Target="https://www.fs.fed.us/database/feis/plants/tree/psemeng/all.html" TargetMode="External"/><Relationship Id="rId69" Type="http://schemas.openxmlformats.org/officeDocument/2006/relationships/hyperlink" Target="http://pubs.usgs.gov/of/2007/1054/pdf/ofr20071054.pdf" TargetMode="External"/><Relationship Id="rId113" Type="http://schemas.openxmlformats.org/officeDocument/2006/relationships/hyperlink" Target="http://www.fs.fed.us/psw/publications/documents/gtr-181/017_Zack.pdf" TargetMode="External"/><Relationship Id="rId134" Type="http://schemas.openxmlformats.org/officeDocument/2006/relationships/hyperlink" Target="https://www.fs.fed.us/database/feis/plants/tree/abigra/all.html" TargetMode="External"/><Relationship Id="rId80" Type="http://schemas.openxmlformats.org/officeDocument/2006/relationships/image" Target="media/image7.emf"/><Relationship Id="rId155" Type="http://schemas.openxmlformats.org/officeDocument/2006/relationships/hyperlink" Target="https://www.fs.fed.us/database/feis/plants/tree/abigra/all.html" TargetMode="External"/><Relationship Id="rId176" Type="http://schemas.openxmlformats.org/officeDocument/2006/relationships/hyperlink" Target="https://www.fs.fed.us/database/feis/plants/tree/abicon/all.html" TargetMode="External"/><Relationship Id="rId197" Type="http://schemas.openxmlformats.org/officeDocument/2006/relationships/hyperlink" Target="https://www.fs.fed.us/database/feis/plants/tree/abicon/all.html" TargetMode="External"/><Relationship Id="rId201" Type="http://schemas.openxmlformats.org/officeDocument/2006/relationships/hyperlink" Target="https://www.fs.fed.us/database/feis/plants/tree/abicon/all.html" TargetMode="External"/><Relationship Id="rId222" Type="http://schemas.openxmlformats.org/officeDocument/2006/relationships/hyperlink" Target="http://www.america.easybranches.com/montana/Experts--More-logging-and-thinning-to-battle-wildfires-might-just-burn-taxpayer-dollars-152776" TargetMode="External"/><Relationship Id="rId243" Type="http://schemas.openxmlformats.org/officeDocument/2006/relationships/hyperlink" Target="https://doi.org/10.5849/jof.16-067" TargetMode="External"/><Relationship Id="rId264" Type="http://schemas.openxmlformats.org/officeDocument/2006/relationships/hyperlink" Target="http://www.state.gov/documents/organization/214979.pdf" TargetMode="External"/><Relationship Id="rId285" Type="http://schemas.openxmlformats.org/officeDocument/2006/relationships/hyperlink" Target="http://idd00s4z.eresmas.net/doc/transp/ecoeffectsonroads.pdf" TargetMode="External"/><Relationship Id="rId17" Type="http://schemas.openxmlformats.org/officeDocument/2006/relationships/hyperlink" Target="http://www.eurekalert.org/pub_releases/2010-01/uoh-nfd011210.php" TargetMode="External"/><Relationship Id="rId38" Type="http://schemas.openxmlformats.org/officeDocument/2006/relationships/hyperlink" Target="https://nph.onlinelibrary.wiley.com/doi/full/10.1111/nph.15263" TargetMode="External"/><Relationship Id="rId59" Type="http://schemas.openxmlformats.org/officeDocument/2006/relationships/hyperlink" Target="https://doi.org/10.1007/s00114-018-1571-z" TargetMode="External"/><Relationship Id="rId103" Type="http://schemas.openxmlformats.org/officeDocument/2006/relationships/hyperlink" Target="http://www.fs.fed.us/r6/nr/wildlife/decaid-guide/" TargetMode="External"/><Relationship Id="rId124" Type="http://schemas.openxmlformats.org/officeDocument/2006/relationships/hyperlink" Target="https://apps.fs.usda.gov/r6_decaid/legacy/decaid/pages/documents/JandOchapter6.pdf" TargetMode="External"/><Relationship Id="rId70" Type="http://schemas.openxmlformats.org/officeDocument/2006/relationships/hyperlink" Target="https://www.fs.fed.us/pnw/pubs/pnw_rn576.pdf" TargetMode="External"/><Relationship Id="rId91" Type="http://schemas.openxmlformats.org/officeDocument/2006/relationships/hyperlink" Target="http://www.fs.fed.us/wildecology/decaid/decaid_background/chapter24cwb.pdf" TargetMode="External"/><Relationship Id="rId145" Type="http://schemas.openxmlformats.org/officeDocument/2006/relationships/hyperlink" Target="https://www.fs.fed.us/database/feis/plants/tree/abigra/all.html" TargetMode="External"/><Relationship Id="rId166" Type="http://schemas.openxmlformats.org/officeDocument/2006/relationships/hyperlink" Target="https://www.jstor.org/stable/3801783" TargetMode="External"/><Relationship Id="rId187" Type="http://schemas.openxmlformats.org/officeDocument/2006/relationships/hyperlink" Target="https://www.fs.fed.us/database/feis/plants/tree/abicon/all.html" TargetMode="External"/><Relationship Id="rId1" Type="http://schemas.openxmlformats.org/officeDocument/2006/relationships/customXml" Target="../customXml/item1.xml"/><Relationship Id="rId212" Type="http://schemas.openxmlformats.org/officeDocument/2006/relationships/hyperlink" Target="http://www.blm.gov/or/plans/rmpswesternoregon/files/draft/RMP_EIS_Volume3_appd.pdf" TargetMode="External"/><Relationship Id="rId233" Type="http://schemas.openxmlformats.org/officeDocument/2006/relationships/hyperlink" Target="http://www.latimes.com/opinion/op-ed/la-oe-miller-zinke-fire-memo-20171001-story.html" TargetMode="External"/><Relationship Id="rId254" Type="http://schemas.openxmlformats.org/officeDocument/2006/relationships/hyperlink" Target="https://muse.jhu.edu/book/2135" TargetMode="External"/><Relationship Id="rId28" Type="http://schemas.openxmlformats.org/officeDocument/2006/relationships/image" Target="media/image4.png"/><Relationship Id="rId49" Type="http://schemas.openxmlformats.org/officeDocument/2006/relationships/hyperlink" Target="https://www.fs.fed.us/database/feis/research_project_summaries/Youngblood06/all.html" TargetMode="External"/><Relationship Id="rId114" Type="http://schemas.openxmlformats.org/officeDocument/2006/relationships/hyperlink" Target="http://web.archive.org/web/20090205212350/http://avianscience.dbs.umt.edu/documents/hutto_conbio_2006.pdf" TargetMode="External"/><Relationship Id="rId275" Type="http://schemas.openxmlformats.org/officeDocument/2006/relationships/hyperlink" Target="https://ir.library.oregonstate.edu/xmlui/bitstream/handle/1957/48214/AnthonyRobertFisheriesWildlifeCompetitiveInteractions.pdf" TargetMode="External"/><Relationship Id="rId296" Type="http://schemas.openxmlformats.org/officeDocument/2006/relationships/hyperlink" Target="https://www.srs.fs.fed.us/pubs/ja/2012/ja_2012_riitters_002.pdf" TargetMode="External"/><Relationship Id="rId300" Type="http://schemas.openxmlformats.org/officeDocument/2006/relationships/image" Target="media/image15.png"/><Relationship Id="rId60" Type="http://schemas.openxmlformats.org/officeDocument/2006/relationships/hyperlink" Target="https://link.springer.com/content/pdf/10.1007%2Fs00114-018-1571-z.pdf" TargetMode="External"/><Relationship Id="rId81" Type="http://schemas.openxmlformats.org/officeDocument/2006/relationships/hyperlink" Target="http://a123.g.akamai.net/7/123/11558/abc123/forestservic.download.akamai.com/11558/www/nepa/32805_FSPLT2_053506.pdf" TargetMode="External"/><Relationship Id="rId135" Type="http://schemas.openxmlformats.org/officeDocument/2006/relationships/hyperlink" Target="https://www.fs.fed.us/database/feis/plants/tree/abigra/all.html" TargetMode="External"/><Relationship Id="rId156" Type="http://schemas.openxmlformats.org/officeDocument/2006/relationships/hyperlink" Target="https://www.fs.fed.us/database/feis/plants/tree/abigra/all.html" TargetMode="External"/><Relationship Id="rId177" Type="http://schemas.openxmlformats.org/officeDocument/2006/relationships/hyperlink" Target="https://www.fs.fed.us/database/feis/plants/tree/abicon/all.html" TargetMode="External"/><Relationship Id="rId198" Type="http://schemas.openxmlformats.org/officeDocument/2006/relationships/hyperlink" Target="https://www.fs.fed.us/database/feis/plants/tree/abicon/all.html" TargetMode="External"/><Relationship Id="rId202" Type="http://schemas.openxmlformats.org/officeDocument/2006/relationships/hyperlink" Target="https://www.fs.fed.us/database/feis/plants/tree/abicon/all.html" TargetMode="External"/><Relationship Id="rId223" Type="http://schemas.openxmlformats.org/officeDocument/2006/relationships/hyperlink" Target="http://www.mdpi.com/1999-4907/7/10/237" TargetMode="External"/><Relationship Id="rId244" Type="http://schemas.openxmlformats.org/officeDocument/2006/relationships/hyperlink" Target="https://www.fs.fed.us/pnw/pubs/journals/pnw_2017_vaillant001.pdf" TargetMode="External"/><Relationship Id="rId18" Type="http://schemas.openxmlformats.org/officeDocument/2006/relationships/image" Target="media/image3.png"/><Relationship Id="rId39" Type="http://schemas.openxmlformats.org/officeDocument/2006/relationships/hyperlink" Target="https://nph.onlinelibrary.wiley.com/doi/full/10.1111/nph.15263" TargetMode="External"/><Relationship Id="rId265" Type="http://schemas.openxmlformats.org/officeDocument/2006/relationships/hyperlink" Target="http://www.whitehouse.gov/sites/default/files/image/president27sclimateactionplan.pdf" TargetMode="External"/><Relationship Id="rId286" Type="http://schemas.openxmlformats.org/officeDocument/2006/relationships/hyperlink" Target="http://www.fs.fed.us/pnw/pubs/gtr_438.pdf" TargetMode="External"/><Relationship Id="rId50" Type="http://schemas.openxmlformats.org/officeDocument/2006/relationships/hyperlink" Target="https://www.fs.fed.us/database/feis/plants/tree/psemeng/all.html" TargetMode="External"/><Relationship Id="rId104" Type="http://schemas.openxmlformats.org/officeDocument/2006/relationships/hyperlink" Target="http://www.fs.fed.us/pnw/pubs/journals/pnw_2010_marcot002.pdf" TargetMode="External"/><Relationship Id="rId125" Type="http://schemas.openxmlformats.org/officeDocument/2006/relationships/hyperlink" Target="https://apps.fs.usda.gov/r6_decaid/legacy/decaid/queries/emcf-e-cscds-bmt/lrgr-trs/narrative.html" TargetMode="External"/><Relationship Id="rId146" Type="http://schemas.openxmlformats.org/officeDocument/2006/relationships/hyperlink" Target="https://www.fs.fed.us/database/feis/plants/tree/abigra/all.html" TargetMode="External"/><Relationship Id="rId167" Type="http://schemas.openxmlformats.org/officeDocument/2006/relationships/hyperlink" Target="https://www.fs.fed.us/database/feis/plants/tree/abicon/all.html" TargetMode="External"/><Relationship Id="rId188" Type="http://schemas.openxmlformats.org/officeDocument/2006/relationships/hyperlink" Target="https://www.fs.fed.us/database/feis/plants/tree/abicon/all.html" TargetMode="External"/><Relationship Id="rId71" Type="http://schemas.openxmlformats.org/officeDocument/2006/relationships/hyperlink" Target="https://besjournals.onlinelibrary.wiley.com/doi/pdf/10.1111/1365-2664.13395" TargetMode="External"/><Relationship Id="rId92" Type="http://schemas.openxmlformats.org/officeDocument/2006/relationships/hyperlink" Target="http://www.for.gov.bc.ca/hfd/pubs/docs/Wp/Wp30.pdf" TargetMode="External"/><Relationship Id="rId213" Type="http://schemas.openxmlformats.org/officeDocument/2006/relationships/hyperlink" Target="https://doi.org/10.1088/1748-9326/aa6b10" TargetMode="External"/><Relationship Id="rId234" Type="http://schemas.openxmlformats.org/officeDocument/2006/relationships/hyperlink" Target="http://www.firescience.gov/projects/09-2-01-16/project/09-2-01-16_09-2-01-16_rmrs_gtr292web.pdf" TargetMode="External"/><Relationship Id="rId2" Type="http://schemas.openxmlformats.org/officeDocument/2006/relationships/numbering" Target="numbering.xml"/><Relationship Id="rId29" Type="http://schemas.openxmlformats.org/officeDocument/2006/relationships/hyperlink" Target="https://www.fs.usda.gov/Internet/FSE_DOCUMENTS/stelprdb5362538.pdf" TargetMode="External"/><Relationship Id="rId255" Type="http://schemas.openxmlformats.org/officeDocument/2006/relationships/image" Target="media/image12.jpeg"/><Relationship Id="rId276" Type="http://schemas.openxmlformats.org/officeDocument/2006/relationships/hyperlink" Target="http://www.reo.gov/monitoring/reports/nso/FORSMANetal_draft_17_Dec_2010.pdf" TargetMode="External"/><Relationship Id="rId297" Type="http://schemas.openxmlformats.org/officeDocument/2006/relationships/hyperlink" Target="http://wayback.archive.org/web/" TargetMode="External"/><Relationship Id="rId40" Type="http://schemas.openxmlformats.org/officeDocument/2006/relationships/hyperlink" Target="https://nph.onlinelibrary.wiley.com/doi/full/10.1111/nph.15263" TargetMode="External"/><Relationship Id="rId115" Type="http://schemas.openxmlformats.org/officeDocument/2006/relationships/hyperlink" Target="http://www.fs.fed.us/pnw/publications/gtr765/pnw-gtr765b.pdf" TargetMode="External"/><Relationship Id="rId136" Type="http://schemas.openxmlformats.org/officeDocument/2006/relationships/hyperlink" Target="https://www.fs.fed.us/database/feis/plants/tree/abigra/all.html" TargetMode="External"/><Relationship Id="rId157" Type="http://schemas.openxmlformats.org/officeDocument/2006/relationships/hyperlink" Target="https://www.fs.fed.us/database/feis/plants/tree/abigra/all.html" TargetMode="External"/><Relationship Id="rId178" Type="http://schemas.openxmlformats.org/officeDocument/2006/relationships/hyperlink" Target="https://www.fs.fed.us/database/feis/plants/tree/abicon/all.html" TargetMode="External"/><Relationship Id="rId301" Type="http://schemas.openxmlformats.org/officeDocument/2006/relationships/hyperlink" Target="https://cara.ecosystem-management.org/Public/ReadingRoom?project=58050" TargetMode="External"/><Relationship Id="rId61" Type="http://schemas.openxmlformats.org/officeDocument/2006/relationships/hyperlink" Target="https://web.archive.org/web/20161221104651/http://www.icbemp.gov/pdfs/sdeis/volume2/appendix17a.pdf" TargetMode="External"/><Relationship Id="rId82" Type="http://schemas.openxmlformats.org/officeDocument/2006/relationships/hyperlink" Target="https://www.fs.usda.gov/project/?project=46617" TargetMode="External"/><Relationship Id="rId199" Type="http://schemas.openxmlformats.org/officeDocument/2006/relationships/hyperlink" Target="https://www.fs.fed.us/database/feis/plants/tree/abicon/all.html" TargetMode="External"/><Relationship Id="rId203" Type="http://schemas.openxmlformats.org/officeDocument/2006/relationships/hyperlink" Target="https://www.fs.fed.us/database/feis/plants/tree/abicon/all.html" TargetMode="External"/><Relationship Id="rId19" Type="http://schemas.openxmlformats.org/officeDocument/2006/relationships/hyperlink" Target="http://www.fs.usda.gov/Internet/FSE_DOCUMENTS/stelprdb5288660.pdf" TargetMode="External"/><Relationship Id="rId224" Type="http://schemas.openxmlformats.org/officeDocument/2006/relationships/hyperlink" Target="http://api.ning.com/files/1kp0vDW*F1cqOeO4-GdXE1AHOATghmIAN2x9qLpH3aA_/FireandFuelTreatments.pdf" TargetMode="External"/><Relationship Id="rId245" Type="http://schemas.openxmlformats.org/officeDocument/2006/relationships/hyperlink" Target="https://headwaterseconomics.org/wildfire/solutions/land-use-planning-is-more-effective/" TargetMode="External"/><Relationship Id="rId266" Type="http://schemas.openxmlformats.org/officeDocument/2006/relationships/hyperlink" Target="https://web.archive.org/web/20090401175835/http:/www.fossil.energy.gov/programs/sequestration/terrestrial/index.html" TargetMode="External"/><Relationship Id="rId287" Type="http://schemas.openxmlformats.org/officeDocument/2006/relationships/hyperlink" Target="http://magicalliance.org/download/ecological-importance-of-roadless-areas.pdf" TargetMode="External"/><Relationship Id="rId30" Type="http://schemas.openxmlformats.org/officeDocument/2006/relationships/hyperlink" Target="https://www.fs.usda.gov/Internet/FSE_DOCUMENTS/stelprdb5362538.pdf" TargetMode="External"/><Relationship Id="rId105" Type="http://schemas.openxmlformats.org/officeDocument/2006/relationships/hyperlink" Target="http://a123.g.akamai.net/7/123/11558/abc123/forestservic.download.akamai.com/11558/www/nepa/91686_FSPLT3_1450222.pdf" TargetMode="External"/><Relationship Id="rId126" Type="http://schemas.openxmlformats.org/officeDocument/2006/relationships/hyperlink" Target="https://pdfs.semanticscholar.org/177e/c9c018e78b1ed8da4a8b070702bb75211caa.pdf" TargetMode="External"/><Relationship Id="rId147" Type="http://schemas.openxmlformats.org/officeDocument/2006/relationships/hyperlink" Target="https://www.fs.fed.us/database/feis/plants/tree/abigra/all.html" TargetMode="External"/><Relationship Id="rId168" Type="http://schemas.openxmlformats.org/officeDocument/2006/relationships/hyperlink" Target="https://www.fs.fed.us/database/feis/plants/tree/abicon/all.html" TargetMode="External"/><Relationship Id="rId51" Type="http://schemas.openxmlformats.org/officeDocument/2006/relationships/hyperlink" Target="https://doi.org/10.1111/cobi.13318" TargetMode="External"/><Relationship Id="rId72" Type="http://schemas.openxmlformats.org/officeDocument/2006/relationships/hyperlink" Target="https://www.fs.fed.us/pnw/pubs/pnw_gtr405.pdf" TargetMode="External"/><Relationship Id="rId93" Type="http://schemas.openxmlformats.org/officeDocument/2006/relationships/hyperlink" Target="http://pubs.usgs.gov/of/2007/1054/pdf/ofr20071054.pdf" TargetMode="External"/><Relationship Id="rId189" Type="http://schemas.openxmlformats.org/officeDocument/2006/relationships/hyperlink" Target="https://www.fs.fed.us/database/feis/plants/tree/abicon/all.html" TargetMode="External"/><Relationship Id="rId3" Type="http://schemas.openxmlformats.org/officeDocument/2006/relationships/styles" Target="styles.xml"/><Relationship Id="rId214" Type="http://schemas.openxmlformats.org/officeDocument/2006/relationships/hyperlink" Target="https://agupubs.onlinelibrary.wiley.com/doi/pdf/10.1029/2018EF001006" TargetMode="External"/><Relationship Id="rId235" Type="http://schemas.openxmlformats.org/officeDocument/2006/relationships/hyperlink" Target="https://www.biogeosciences.net/10/3691/2013/bg-10-3691-2013.pdf" TargetMode="External"/><Relationship Id="rId256" Type="http://schemas.openxmlformats.org/officeDocument/2006/relationships/hyperlink" Target="http://oregoneconomicanalysis.com/2012/01/23/historical-look-at-oregons-wood-product-industry/" TargetMode="External"/><Relationship Id="rId277" Type="http://schemas.openxmlformats.org/officeDocument/2006/relationships/hyperlink" Target="https://eplanning.blm.gov/epl-front-office/projects/nepa/75350/142227/174633/2018_04_23_THills_EA_Final_Print.pdf" TargetMode="External"/><Relationship Id="rId298" Type="http://schemas.openxmlformats.org/officeDocument/2006/relationships/image" Target="media/image14.jpeg"/><Relationship Id="rId116" Type="http://schemas.openxmlformats.org/officeDocument/2006/relationships/hyperlink" Target="http://www.fs.fed.us/pnw/sciencef/scifi20.pdf" TargetMode="External"/><Relationship Id="rId137" Type="http://schemas.openxmlformats.org/officeDocument/2006/relationships/hyperlink" Target="https://www.fs.fed.us/database/feis/plants/tree/abigra/all.html" TargetMode="External"/><Relationship Id="rId158" Type="http://schemas.openxmlformats.org/officeDocument/2006/relationships/hyperlink" Target="https://www.fs.fed.us/database/feis/plants/tree/abigra/all.html" TargetMode="External"/><Relationship Id="rId302" Type="http://schemas.openxmlformats.org/officeDocument/2006/relationships/hyperlink" Target="tel:58050-3424-2628" TargetMode="External"/><Relationship Id="rId20" Type="http://schemas.openxmlformats.org/officeDocument/2006/relationships/hyperlink" Target="http://www.icbemp.gov/pdfs/sdeis/Volume2/Appendix17a.pdf" TargetMode="External"/><Relationship Id="rId41" Type="http://schemas.openxmlformats.org/officeDocument/2006/relationships/hyperlink" Target="https://nph.onlinelibrary.wiley.com/doi/full/10.1111/nph.15263" TargetMode="External"/><Relationship Id="rId62" Type="http://schemas.openxmlformats.org/officeDocument/2006/relationships/hyperlink" Target="http://web.archive.org/web/20060520051245/http://wwwnotes.fs.fed.us:81/pnw/DecAID/DecAID.nsf/HomePageLinks/863EEA66F39752C088256C02007DF2C0?OpenDocument" TargetMode="External"/><Relationship Id="rId83" Type="http://schemas.openxmlformats.org/officeDocument/2006/relationships/image" Target="media/image8.png"/><Relationship Id="rId179" Type="http://schemas.openxmlformats.org/officeDocument/2006/relationships/hyperlink" Target="https://www.fs.fed.us/database/feis/plants/tree/abicon/all.html" TargetMode="External"/><Relationship Id="rId190" Type="http://schemas.openxmlformats.org/officeDocument/2006/relationships/hyperlink" Target="https://www.fs.fed.us/database/feis/plants/tree/abicon/all.html" TargetMode="External"/><Relationship Id="rId204" Type="http://schemas.openxmlformats.org/officeDocument/2006/relationships/hyperlink" Target="https://www.fs.fed.us/database/feis/plants/tree/abicon/all.html" TargetMode="External"/><Relationship Id="rId225" Type="http://schemas.openxmlformats.org/officeDocument/2006/relationships/hyperlink" Target="https://headwaterseconomics.org/wildfire/solutions/land-use-planning-is-more-effective/" TargetMode="External"/><Relationship Id="rId246" Type="http://schemas.openxmlformats.org/officeDocument/2006/relationships/hyperlink" Target="https://www.pnas.org/cgi/doi/10.1073/pnas.1718850115" TargetMode="External"/><Relationship Id="rId267" Type="http://schemas.openxmlformats.org/officeDocument/2006/relationships/hyperlink" Target="http://geosinstitute.org/images/stories/pdfs/Publications/Fire/Scientist_Letter_Postfire_2013.pdf" TargetMode="External"/><Relationship Id="rId288" Type="http://schemas.openxmlformats.org/officeDocument/2006/relationships/hyperlink" Target="https://docs.google.com/open?id=0B4L_-RD-MJwrRzhFcm5QcFR0MHM" TargetMode="External"/><Relationship Id="rId106" Type="http://schemas.openxmlformats.org/officeDocument/2006/relationships/hyperlink" Target="http://www.fs.fed.us/r6/frewin/projects/analyses/barneslong/ea/appb.pdf" TargetMode="External"/><Relationship Id="rId127" Type="http://schemas.openxmlformats.org/officeDocument/2006/relationships/hyperlink" Target="https://web.archive.org/web/20080405154205/http:/www.fs.fed.us/wildecology/decaid/decaid_background/decaid_kefs.htm" TargetMode="External"/><Relationship Id="rId10" Type="http://schemas.openxmlformats.org/officeDocument/2006/relationships/hyperlink" Target="https://www.fs.usda.gov/detail/r6/landmanagement/planning/?cid=FSEPRD710229" TargetMode="External"/><Relationship Id="rId31" Type="http://schemas.openxmlformats.org/officeDocument/2006/relationships/hyperlink" Target="http://static1.1.sqspcdn.com/static/f/551504/26259333/1432605642583/SocialCostsOfCarbonOClandsNiemiMay2015.pdf?token=wDqoa5RkP8EoBLlsRWIPPRuahzg%3D" TargetMode="External"/><Relationship Id="rId52" Type="http://schemas.openxmlformats.org/officeDocument/2006/relationships/hyperlink" Target="https://harvardforest.fas.harvard.edu/sites/default/files/Sims_et_al-2019-Conservation_Biology.pdf" TargetMode="External"/><Relationship Id="rId73" Type="http://schemas.openxmlformats.org/officeDocument/2006/relationships/image" Target="media/image6.png"/><Relationship Id="rId94" Type="http://schemas.openxmlformats.org/officeDocument/2006/relationships/hyperlink" Target="https://www.fs.fed.us/pnw/pubs/pnw_rn576.pdf" TargetMode="External"/><Relationship Id="rId148" Type="http://schemas.openxmlformats.org/officeDocument/2006/relationships/hyperlink" Target="https://www.fs.fed.us/database/feis/plants/tree/abigra/all.html" TargetMode="External"/><Relationship Id="rId169" Type="http://schemas.openxmlformats.org/officeDocument/2006/relationships/hyperlink" Target="https://www.fs.fed.us/database/feis/plants/tree/abicon/all.html" TargetMode="External"/><Relationship Id="rId4" Type="http://schemas.microsoft.com/office/2007/relationships/stylesWithEffects" Target="stylesWithEffects.xml"/><Relationship Id="rId180" Type="http://schemas.openxmlformats.org/officeDocument/2006/relationships/hyperlink" Target="https://www.fs.fed.us/database/feis/plants/tree/abicon/all.html" TargetMode="External"/><Relationship Id="rId215" Type="http://schemas.openxmlformats.org/officeDocument/2006/relationships/hyperlink" Target="https://doi.org/10.1371/journal.pone.0188486" TargetMode="External"/><Relationship Id="rId236" Type="http://schemas.openxmlformats.org/officeDocument/2006/relationships/hyperlink" Target="http://www.fs.fed.us/pnw/pubs/pnw_gtr915.pdf" TargetMode="External"/><Relationship Id="rId257" Type="http://schemas.openxmlformats.org/officeDocument/2006/relationships/hyperlink" Target="http://ageconsearch.umn.edu/bitstream/19229/1/sp05wu02.pdf" TargetMode="External"/><Relationship Id="rId278" Type="http://schemas.openxmlformats.org/officeDocument/2006/relationships/hyperlink" Target="http://web.archive.org/web/20030409094020/http://www.onda.org/library/papers/standdynamics.pdf" TargetMode="External"/><Relationship Id="rId303" Type="http://schemas.openxmlformats.org/officeDocument/2006/relationships/image" Target="media/image16.png"/><Relationship Id="rId42" Type="http://schemas.openxmlformats.org/officeDocument/2006/relationships/hyperlink" Target="Journal%20of%20Ecology" TargetMode="External"/><Relationship Id="rId84" Type="http://schemas.openxmlformats.org/officeDocument/2006/relationships/image" Target="media/image9.png"/><Relationship Id="rId138" Type="http://schemas.openxmlformats.org/officeDocument/2006/relationships/hyperlink" Target="https://www.fs.fed.us/database/feis/plants/tree/abigra/all.html" TargetMode="External"/><Relationship Id="rId191" Type="http://schemas.openxmlformats.org/officeDocument/2006/relationships/hyperlink" Target="https://www.fs.fed.us/database/feis/plants/tree/abicon/all.html" TargetMode="External"/><Relationship Id="rId205" Type="http://schemas.openxmlformats.org/officeDocument/2006/relationships/hyperlink" Target="https://www.fs.fed.us/database/feis/plants/tree/abicon/all.html" TargetMode="External"/><Relationship Id="rId247" Type="http://schemas.openxmlformats.org/officeDocument/2006/relationships/hyperlink" Target="http://www.csp-inc.org/wp-content/uploads/2017/11/Zachmann_et_al_2017.pdf" TargetMode="External"/><Relationship Id="rId107" Type="http://schemas.openxmlformats.org/officeDocument/2006/relationships/hyperlink" Target="http://www.fs.fed.us/outernet/r6/winema/management/analyses/barneslong/prelimea.pdf" TargetMode="External"/><Relationship Id="rId289" Type="http://schemas.openxmlformats.org/officeDocument/2006/relationships/hyperlink" Target="http://kritonarsenis.gr/eng/actions/view/european-parliament-backs-the-protection" TargetMode="External"/><Relationship Id="rId11" Type="http://schemas.openxmlformats.org/officeDocument/2006/relationships/image" Target="media/image1.png"/><Relationship Id="rId53" Type="http://schemas.openxmlformats.org/officeDocument/2006/relationships/hyperlink" Target="https://www.fs.fed.us/pnw/pubs/pnw_gtr317.pdf" TargetMode="External"/><Relationship Id="rId149" Type="http://schemas.openxmlformats.org/officeDocument/2006/relationships/hyperlink" Target="https://www.fs.fed.us/database/feis/plants/tree/abigra/all.html" TargetMode="External"/><Relationship Id="rId95" Type="http://schemas.openxmlformats.org/officeDocument/2006/relationships/hyperlink" Target="https://besjournals.onlinelibrary.wiley.com/doi/pdf/10.1111/1365-2664.13395" TargetMode="External"/><Relationship Id="rId160" Type="http://schemas.openxmlformats.org/officeDocument/2006/relationships/hyperlink" Target="https://www.fs.fed.us/database/feis/plants/tree/abigra/all.html" TargetMode="External"/><Relationship Id="rId216" Type="http://schemas.openxmlformats.org/officeDocument/2006/relationships/hyperlink" Target="https://www.fs.fed.us/pnw/pubs/journals/pnw_2010_spies001.pdf" TargetMode="External"/><Relationship Id="rId258" Type="http://schemas.openxmlformats.org/officeDocument/2006/relationships/hyperlink" Target="http://web.archive.org/web/20090115192759/http://oregonstate.edu/dept/ncs/newsarch/2008/Aug08/remotecommunities.html" TargetMode="External"/><Relationship Id="rId22" Type="http://schemas.openxmlformats.org/officeDocument/2006/relationships/hyperlink" Target="http://nature.ly/dryforests" TargetMode="External"/><Relationship Id="rId64" Type="http://schemas.openxmlformats.org/officeDocument/2006/relationships/hyperlink" Target="https://www.fs.fed.us/pnw/pubs/pnw_gtr425.pdf" TargetMode="External"/><Relationship Id="rId118" Type="http://schemas.openxmlformats.org/officeDocument/2006/relationships/hyperlink" Target="http://www.fs.fed.us/pnw/pubs/pnw_gtr752.pdf" TargetMode="External"/><Relationship Id="rId171" Type="http://schemas.openxmlformats.org/officeDocument/2006/relationships/hyperlink" Target="https://www.fs.fed.us/database/feis/plants/tree/abicon/all.html" TargetMode="External"/><Relationship Id="rId227" Type="http://schemas.openxmlformats.org/officeDocument/2006/relationships/hyperlink" Target="http://dx.doi.org/10.1071/WF11079" TargetMode="External"/><Relationship Id="rId269" Type="http://schemas.openxmlformats.org/officeDocument/2006/relationships/hyperlink" Target="http://www.fs.fed.us/pnw/sciencef/scifi56.pdf" TargetMode="External"/><Relationship Id="rId33" Type="http://schemas.openxmlformats.org/officeDocument/2006/relationships/hyperlink" Target="https://www.fs.usda.gov/project/?project=46617" TargetMode="External"/><Relationship Id="rId129" Type="http://schemas.openxmlformats.org/officeDocument/2006/relationships/hyperlink" Target="https://www.nationalforests.org/blog/seven-reasons-why-fish-need-wood" TargetMode="External"/><Relationship Id="rId280" Type="http://schemas.openxmlformats.org/officeDocument/2006/relationships/hyperlink" Target="http://www.fs.fed.us/pnw/lagrande/starkey_na/PDFs_Preprints/ms-04_Rowland.pdf" TargetMode="External"/><Relationship Id="rId75" Type="http://schemas.openxmlformats.org/officeDocument/2006/relationships/hyperlink" Target="https://www.fs.fed.us/psw/publications/documents/gtr-181/071_Harm.pdf" TargetMode="External"/><Relationship Id="rId140" Type="http://schemas.openxmlformats.org/officeDocument/2006/relationships/hyperlink" Target="https://www.fs.fed.us/database/feis/plants/tree/abigra/all.html" TargetMode="External"/><Relationship Id="rId182" Type="http://schemas.openxmlformats.org/officeDocument/2006/relationships/hyperlink" Target="https://www.fs.fed.us/database/feis/plants/tree/abicon/all.html" TargetMode="External"/><Relationship Id="rId6" Type="http://schemas.openxmlformats.org/officeDocument/2006/relationships/webSettings" Target="webSettings.xml"/><Relationship Id="rId238" Type="http://schemas.openxmlformats.org/officeDocument/2006/relationships/hyperlink" Target="https://www.biogeosciences.net/10/3691/2013/bg-10-3691-2013.pdf" TargetMode="External"/><Relationship Id="rId291" Type="http://schemas.openxmlformats.org/officeDocument/2006/relationships/hyperlink" Target="https://www.frontiersin.org/articles/10.3389/ffgc.2019.00027/full" TargetMode="External"/><Relationship Id="rId30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00BFB-78AE-43A2-89CD-CE27E8F8A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120</Pages>
  <Words>55123</Words>
  <Characters>314206</Characters>
  <Application>Microsoft Office Word</Application>
  <DocSecurity>0</DocSecurity>
  <Lines>2618</Lines>
  <Paragraphs>737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cp:lastModifiedBy>
  <cp:revision>52</cp:revision>
  <dcterms:created xsi:type="dcterms:W3CDTF">2020-10-12T16:02:00Z</dcterms:created>
  <dcterms:modified xsi:type="dcterms:W3CDTF">2020-10-20T23:46:00Z</dcterms:modified>
</cp:coreProperties>
</file>