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BA" w:rsidRDefault="00E10A05" w:rsidP="00476CBA">
      <w:pPr>
        <w:autoSpaceDE w:val="0"/>
        <w:autoSpaceDN w:val="0"/>
        <w:adjustRightInd w:val="0"/>
        <w:ind w:right="-360"/>
      </w:pPr>
      <w:r>
        <w:rPr>
          <w:noProof/>
        </w:rPr>
        <w:drawing>
          <wp:inline distT="0" distB="0" distL="0" distR="0">
            <wp:extent cx="4229100" cy="1318260"/>
            <wp:effectExtent l="0" t="0" r="0" b="0"/>
            <wp:docPr id="1" name="Picture 1" descr="OW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1318260"/>
                    </a:xfrm>
                    <a:prstGeom prst="rect">
                      <a:avLst/>
                    </a:prstGeom>
                    <a:noFill/>
                    <a:ln>
                      <a:noFill/>
                    </a:ln>
                  </pic:spPr>
                </pic:pic>
              </a:graphicData>
            </a:graphic>
          </wp:inline>
        </w:drawing>
      </w:r>
    </w:p>
    <w:p w:rsidR="00476CBA" w:rsidRDefault="00476CBA" w:rsidP="00476CBA">
      <w:pPr>
        <w:autoSpaceDE w:val="0"/>
        <w:autoSpaceDN w:val="0"/>
        <w:adjustRightInd w:val="0"/>
        <w:rPr>
          <w:rFonts w:ascii="Arial" w:hAnsi="Arial" w:cs="Arial"/>
          <w:sz w:val="20"/>
          <w:szCs w:val="20"/>
        </w:rPr>
      </w:pPr>
      <w:r w:rsidRPr="00E3789B">
        <w:rPr>
          <w:rFonts w:ascii="Arial" w:hAnsi="Arial" w:cs="Arial"/>
          <w:sz w:val="20"/>
          <w:szCs w:val="20"/>
        </w:rPr>
        <w:t>PO Box 1</w:t>
      </w:r>
      <w:r>
        <w:rPr>
          <w:rFonts w:ascii="Arial" w:hAnsi="Arial" w:cs="Arial"/>
          <w:sz w:val="20"/>
          <w:szCs w:val="20"/>
        </w:rPr>
        <w:t>1648 |</w:t>
      </w:r>
      <w:r w:rsidRPr="00E3789B">
        <w:rPr>
          <w:rFonts w:ascii="Arial" w:hAnsi="Arial" w:cs="Arial"/>
          <w:sz w:val="20"/>
          <w:szCs w:val="20"/>
        </w:rPr>
        <w:t xml:space="preserve"> Eugene OR 97440</w:t>
      </w:r>
      <w:r>
        <w:rPr>
          <w:rFonts w:ascii="Arial" w:hAnsi="Arial" w:cs="Arial"/>
          <w:sz w:val="20"/>
          <w:szCs w:val="20"/>
        </w:rPr>
        <w:t xml:space="preserve"> | </w:t>
      </w:r>
      <w:r w:rsidRPr="00E3789B">
        <w:rPr>
          <w:rFonts w:ascii="Arial" w:hAnsi="Arial" w:cs="Arial"/>
          <w:sz w:val="20"/>
          <w:szCs w:val="20"/>
        </w:rPr>
        <w:t>541-344-0675</w:t>
      </w:r>
      <w:r>
        <w:rPr>
          <w:rFonts w:ascii="Arial" w:hAnsi="Arial" w:cs="Arial"/>
          <w:sz w:val="20"/>
          <w:szCs w:val="20"/>
        </w:rPr>
        <w:t xml:space="preserve"> |</w:t>
      </w:r>
      <w:r w:rsidRPr="00E3789B">
        <w:rPr>
          <w:rFonts w:ascii="Arial" w:hAnsi="Arial" w:cs="Arial"/>
          <w:sz w:val="20"/>
          <w:szCs w:val="20"/>
        </w:rPr>
        <w:t xml:space="preserve"> fax 541-343-0996</w:t>
      </w:r>
    </w:p>
    <w:p w:rsidR="00476CBA" w:rsidRDefault="006B177F" w:rsidP="00476CBA">
      <w:pPr>
        <w:ind w:right="-360"/>
        <w:rPr>
          <w:rFonts w:ascii="Arial" w:hAnsi="Arial" w:cs="Arial"/>
          <w:sz w:val="20"/>
          <w:szCs w:val="20"/>
        </w:rPr>
      </w:pPr>
      <w:hyperlink r:id="rId9" w:history="1">
        <w:r w:rsidR="00476CBA" w:rsidRPr="0036338D">
          <w:rPr>
            <w:rStyle w:val="Hyperlink"/>
            <w:rFonts w:ascii="Arial" w:hAnsi="Arial" w:cs="Arial"/>
            <w:sz w:val="20"/>
            <w:szCs w:val="20"/>
          </w:rPr>
          <w:t>dh@</w:t>
        </w:r>
        <w:r w:rsidR="00476CBA">
          <w:rPr>
            <w:rStyle w:val="Hyperlink"/>
            <w:rFonts w:ascii="Arial" w:hAnsi="Arial" w:cs="Arial"/>
            <w:sz w:val="20"/>
            <w:szCs w:val="20"/>
          </w:rPr>
          <w:t>oregonwild</w:t>
        </w:r>
        <w:r w:rsidR="00476CBA" w:rsidRPr="0036338D">
          <w:rPr>
            <w:rStyle w:val="Hyperlink"/>
            <w:rFonts w:ascii="Arial" w:hAnsi="Arial" w:cs="Arial"/>
            <w:sz w:val="20"/>
            <w:szCs w:val="20"/>
          </w:rPr>
          <w:t>.org</w:t>
        </w:r>
      </w:hyperlink>
      <w:r w:rsidR="00476CBA">
        <w:rPr>
          <w:rFonts w:ascii="Arial" w:hAnsi="Arial" w:cs="Arial"/>
          <w:sz w:val="20"/>
          <w:szCs w:val="20"/>
        </w:rPr>
        <w:t xml:space="preserve"> | </w:t>
      </w:r>
      <w:hyperlink r:id="rId10" w:history="1">
        <w:r w:rsidR="00476CBA" w:rsidRPr="00AA3F80">
          <w:rPr>
            <w:rStyle w:val="Hyperlink"/>
            <w:rFonts w:ascii="Arial" w:hAnsi="Arial" w:cs="Arial"/>
            <w:sz w:val="20"/>
            <w:szCs w:val="20"/>
          </w:rPr>
          <w:t>http://www.oregonwild.org/</w:t>
        </w:r>
      </w:hyperlink>
    </w:p>
    <w:p w:rsidR="00772A6D" w:rsidRDefault="00772A6D" w:rsidP="002137BE">
      <w:pPr>
        <w:autoSpaceDE w:val="0"/>
        <w:autoSpaceDN w:val="0"/>
        <w:adjustRightInd w:val="0"/>
        <w:jc w:val="right"/>
        <w:sectPr w:rsidR="00772A6D" w:rsidSect="00476CBA">
          <w:footerReference w:type="default" r:id="rId11"/>
          <w:pgSz w:w="12240" w:h="15840"/>
          <w:pgMar w:top="1440" w:right="1800" w:bottom="1440" w:left="1800" w:header="720" w:footer="720" w:gutter="0"/>
          <w:cols w:space="720" w:equalWidth="0">
            <w:col w:w="9360" w:space="720"/>
          </w:cols>
          <w:docGrid w:linePitch="360"/>
        </w:sectPr>
      </w:pPr>
    </w:p>
    <w:p w:rsidR="00007F67" w:rsidRDefault="00007F67" w:rsidP="0053180D"/>
    <w:p w:rsidR="008C35DF" w:rsidRDefault="008C35DF" w:rsidP="0053180D">
      <w:r w:rsidRPr="008C35DF">
        <w:rPr>
          <w:highlight w:val="yellow"/>
        </w:rPr>
        <w:t>ATTACH Screens COMMENTS</w:t>
      </w:r>
    </w:p>
    <w:p w:rsidR="008C35DF" w:rsidRDefault="008C35DF" w:rsidP="0053180D"/>
    <w:p w:rsidR="00476CBA" w:rsidRDefault="00CE6A2E" w:rsidP="0053180D">
      <w:r>
        <w:t>23 April 2021</w:t>
      </w:r>
    </w:p>
    <w:p w:rsidR="00476CBA" w:rsidRDefault="00476CBA" w:rsidP="0053180D"/>
    <w:p w:rsidR="00791EEE" w:rsidRDefault="00C447CA" w:rsidP="000C4474">
      <w:r>
        <w:t xml:space="preserve">TO: </w:t>
      </w:r>
      <w:r w:rsidR="00CE6A2E">
        <w:t>Malheur Forest Supervisor, Craig Trulock</w:t>
      </w:r>
    </w:p>
    <w:p w:rsidR="000C4474" w:rsidRDefault="00791EEE" w:rsidP="000C4474">
      <w:r>
        <w:t xml:space="preserve">VIA: </w:t>
      </w:r>
      <w:hyperlink r:id="rId12" w:history="1">
        <w:r w:rsidR="00CE6A2E" w:rsidRPr="00591A5C">
          <w:rPr>
            <w:rStyle w:val="Hyperlink"/>
          </w:rPr>
          <w:t>objections-pnw-malheur@usda.gov</w:t>
        </w:r>
      </w:hyperlink>
      <w:r w:rsidR="00CE6A2E">
        <w:t xml:space="preserve"> </w:t>
      </w:r>
    </w:p>
    <w:p w:rsidR="00791EEE" w:rsidRPr="00791EEE" w:rsidRDefault="00791EEE" w:rsidP="000C4474"/>
    <w:p w:rsidR="000C4474" w:rsidRDefault="000C4474" w:rsidP="000C4474">
      <w:pPr>
        <w:rPr>
          <w:b/>
        </w:rPr>
      </w:pPr>
      <w:r>
        <w:rPr>
          <w:b/>
        </w:rPr>
        <w:t>Subject: 36 CFR 21</w:t>
      </w:r>
      <w:r w:rsidR="00D42DE4">
        <w:rPr>
          <w:b/>
        </w:rPr>
        <w:t>8</w:t>
      </w:r>
      <w:r>
        <w:rPr>
          <w:b/>
        </w:rPr>
        <w:t xml:space="preserve"> </w:t>
      </w:r>
      <w:r w:rsidR="00D42DE4">
        <w:rPr>
          <w:b/>
        </w:rPr>
        <w:t xml:space="preserve">objection </w:t>
      </w:r>
      <w:r>
        <w:rPr>
          <w:b/>
        </w:rPr>
        <w:t xml:space="preserve">of the </w:t>
      </w:r>
      <w:r w:rsidR="00CE6A2E">
        <w:rPr>
          <w:b/>
        </w:rPr>
        <w:t>Crow HFRA Project</w:t>
      </w:r>
    </w:p>
    <w:p w:rsidR="000C4474" w:rsidRDefault="000C4474" w:rsidP="000C4474"/>
    <w:p w:rsidR="000C4474" w:rsidRDefault="000C4474" w:rsidP="000C4474">
      <w:r>
        <w:t>Dear Forest Service:</w:t>
      </w:r>
    </w:p>
    <w:p w:rsidR="000C4474" w:rsidRDefault="000C4474" w:rsidP="000C4474"/>
    <w:p w:rsidR="000C4474" w:rsidRDefault="000C4474" w:rsidP="000C4474">
      <w:r>
        <w:t>In accordance with 36 CFR 21</w:t>
      </w:r>
      <w:r w:rsidR="00D42DE4">
        <w:t>8</w:t>
      </w:r>
      <w:r>
        <w:t>,</w:t>
      </w:r>
      <w:r w:rsidR="00363BEB">
        <w:t xml:space="preserve"> Oregon Wild</w:t>
      </w:r>
      <w:r w:rsidR="00D42DE4">
        <w:t xml:space="preserve"> </w:t>
      </w:r>
      <w:r>
        <w:t xml:space="preserve">hereby </w:t>
      </w:r>
      <w:r w:rsidR="00D42DE4">
        <w:t xml:space="preserve">objects to </w:t>
      </w:r>
      <w:r>
        <w:t>the project described below.</w:t>
      </w:r>
    </w:p>
    <w:p w:rsidR="000C4474" w:rsidRDefault="000C4474" w:rsidP="000C4474"/>
    <w:p w:rsidR="00CE6A2E" w:rsidRDefault="00AA72C9" w:rsidP="00CE6A2E">
      <w:r>
        <w:rPr>
          <w:b/>
        </w:rPr>
        <w:t xml:space="preserve">DOCUMENT </w:t>
      </w:r>
      <w:r w:rsidR="000C4474" w:rsidRPr="00BE36EE">
        <w:rPr>
          <w:b/>
        </w:rPr>
        <w:t>TITLE</w:t>
      </w:r>
      <w:r w:rsidR="000C4474">
        <w:t xml:space="preserve">: </w:t>
      </w:r>
      <w:r w:rsidR="00CE6A2E">
        <w:t>Draft Decision Notice and Finding of No Significant Impact</w:t>
      </w:r>
    </w:p>
    <w:p w:rsidR="000C4474" w:rsidRDefault="00CE6A2E" w:rsidP="00CE6A2E">
      <w:r>
        <w:t>For the Crow Hazardous Fuel Reduction Project</w:t>
      </w:r>
    </w:p>
    <w:p w:rsidR="000C4474" w:rsidRDefault="000C4474" w:rsidP="000C4474">
      <w:pPr>
        <w:pStyle w:val="Header"/>
        <w:tabs>
          <w:tab w:val="clear" w:pos="4320"/>
          <w:tab w:val="clear" w:pos="8640"/>
        </w:tabs>
      </w:pPr>
    </w:p>
    <w:p w:rsidR="000C4474" w:rsidRDefault="000C4474" w:rsidP="000C4474">
      <w:r w:rsidRPr="00BE36EE">
        <w:rPr>
          <w:b/>
        </w:rPr>
        <w:t>PROJECT DESCRIPTION</w:t>
      </w:r>
      <w:r>
        <w:t xml:space="preserve">: </w:t>
      </w:r>
      <w:r w:rsidR="009272FE">
        <w:t>Proposed Alternative 3 involves:</w:t>
      </w:r>
    </w:p>
    <w:p w:rsidR="009272FE" w:rsidRDefault="009272FE" w:rsidP="009272FE">
      <w:pPr>
        <w:pStyle w:val="ListParagraph"/>
        <w:numPr>
          <w:ilvl w:val="0"/>
          <w:numId w:val="2"/>
        </w:numPr>
      </w:pPr>
      <w:r>
        <w:t>8013 acres commercial thinning &lt;21” dbh, 25-75 ft2/acre basal area</w:t>
      </w:r>
    </w:p>
    <w:p w:rsidR="009272FE" w:rsidRDefault="009272FE" w:rsidP="009272FE">
      <w:pPr>
        <w:pStyle w:val="ListParagraph"/>
        <w:numPr>
          <w:ilvl w:val="0"/>
          <w:numId w:val="2"/>
        </w:numPr>
      </w:pPr>
      <w:r>
        <w:t>5974 acres commercial thinning for LOS Enhancement &lt;21” dbh, 40 ft2/ac basal area</w:t>
      </w:r>
    </w:p>
    <w:p w:rsidR="009272FE" w:rsidRDefault="009272FE" w:rsidP="009272FE">
      <w:pPr>
        <w:pStyle w:val="ListParagraph"/>
        <w:numPr>
          <w:ilvl w:val="0"/>
          <w:numId w:val="2"/>
        </w:numPr>
      </w:pPr>
      <w:r>
        <w:t>5989 acres commercial thinning in Connectivity Corridors &lt;21” dbh, basal area 2/3 of site potential</w:t>
      </w:r>
    </w:p>
    <w:p w:rsidR="009272FE" w:rsidRDefault="009272FE" w:rsidP="009272FE">
      <w:pPr>
        <w:pStyle w:val="ListParagraph"/>
        <w:numPr>
          <w:ilvl w:val="0"/>
          <w:numId w:val="2"/>
        </w:numPr>
      </w:pPr>
      <w:r>
        <w:t xml:space="preserve">289 acres commercial thinning in Lodgepole </w:t>
      </w:r>
    </w:p>
    <w:p w:rsidR="009272FE" w:rsidRDefault="009272FE" w:rsidP="009272FE">
      <w:pPr>
        <w:pStyle w:val="ListParagraph"/>
        <w:numPr>
          <w:ilvl w:val="0"/>
          <w:numId w:val="2"/>
        </w:numPr>
      </w:pPr>
      <w:r>
        <w:t>1173 acres small diameter thinning in OFSS LOS, &lt;12” dbh</w:t>
      </w:r>
    </w:p>
    <w:p w:rsidR="009272FE" w:rsidRDefault="009272FE" w:rsidP="009272FE">
      <w:pPr>
        <w:pStyle w:val="ListParagraph"/>
        <w:numPr>
          <w:ilvl w:val="0"/>
          <w:numId w:val="2"/>
        </w:numPr>
      </w:pPr>
      <w:r>
        <w:t>4570 acres of small diameter thinning &lt;12” dbh</w:t>
      </w:r>
    </w:p>
    <w:p w:rsidR="009272FE" w:rsidRDefault="009272FE" w:rsidP="009272FE">
      <w:pPr>
        <w:pStyle w:val="ListParagraph"/>
        <w:numPr>
          <w:ilvl w:val="0"/>
          <w:numId w:val="2"/>
        </w:numPr>
      </w:pPr>
      <w:r>
        <w:t xml:space="preserve">1357 acres juniper removal from Ponderosa pine </w:t>
      </w:r>
    </w:p>
    <w:p w:rsidR="009272FE" w:rsidRDefault="009272FE" w:rsidP="009272FE">
      <w:pPr>
        <w:pStyle w:val="ListParagraph"/>
        <w:numPr>
          <w:ilvl w:val="0"/>
          <w:numId w:val="2"/>
        </w:numPr>
      </w:pPr>
      <w:r>
        <w:t>535 acres – removal of encroaching conifers in non-forested areas</w:t>
      </w:r>
    </w:p>
    <w:p w:rsidR="009272FE" w:rsidRDefault="009272FE" w:rsidP="009272FE">
      <w:pPr>
        <w:pStyle w:val="ListParagraph"/>
        <w:numPr>
          <w:ilvl w:val="0"/>
          <w:numId w:val="2"/>
        </w:numPr>
      </w:pPr>
      <w:r>
        <w:t>48 acres plantation thinning</w:t>
      </w:r>
    </w:p>
    <w:p w:rsidR="009272FE" w:rsidRDefault="009272FE" w:rsidP="009272FE">
      <w:pPr>
        <w:pStyle w:val="ListParagraph"/>
        <w:numPr>
          <w:ilvl w:val="0"/>
          <w:numId w:val="2"/>
        </w:numPr>
      </w:pPr>
      <w:r>
        <w:t xml:space="preserve">31000 acres prescribed fire </w:t>
      </w:r>
    </w:p>
    <w:p w:rsidR="00703A83" w:rsidRDefault="00703A83" w:rsidP="009272FE">
      <w:pPr>
        <w:pStyle w:val="ListParagraph"/>
        <w:numPr>
          <w:ilvl w:val="0"/>
          <w:numId w:val="2"/>
        </w:numPr>
      </w:pPr>
      <w:r>
        <w:t xml:space="preserve">Various road work, including 27 miles of temporary road construction </w:t>
      </w:r>
    </w:p>
    <w:p w:rsidR="009272FE" w:rsidRDefault="009272FE" w:rsidP="000C4474"/>
    <w:p w:rsidR="00CE6A2E" w:rsidRDefault="005C768F" w:rsidP="00CE6A2E">
      <w:r>
        <w:rPr>
          <w:b/>
        </w:rPr>
        <w:t>PROJECT LOCATION</w:t>
      </w:r>
      <w:r w:rsidR="000C4474">
        <w:t xml:space="preserve">: </w:t>
      </w:r>
      <w:r w:rsidR="00CE6A2E">
        <w:t>Malheur National Forest, Emigrant Creek Ranger District</w:t>
      </w:r>
    </w:p>
    <w:p w:rsidR="000C4474" w:rsidRDefault="00CE6A2E" w:rsidP="00CE6A2E">
      <w:r>
        <w:t>Harney County, Oregon</w:t>
      </w:r>
    </w:p>
    <w:p w:rsidR="000C4474" w:rsidRDefault="000C4474" w:rsidP="000C4474"/>
    <w:p w:rsidR="000C4474" w:rsidRDefault="000C4474" w:rsidP="000C4474">
      <w:r w:rsidRPr="00BE36EE">
        <w:rPr>
          <w:b/>
        </w:rPr>
        <w:t xml:space="preserve">DATE OF </w:t>
      </w:r>
      <w:r w:rsidR="005C768F">
        <w:rPr>
          <w:b/>
        </w:rPr>
        <w:t>NEPA DOCUMENT</w:t>
      </w:r>
      <w:r>
        <w:t xml:space="preserve">: </w:t>
      </w:r>
      <w:r w:rsidR="00CE6A2E">
        <w:t>draft DN dated March 2021</w:t>
      </w:r>
    </w:p>
    <w:p w:rsidR="000C4474" w:rsidRDefault="000C4474" w:rsidP="000C4474"/>
    <w:p w:rsidR="000C4474" w:rsidRDefault="000C4474" w:rsidP="00CE6A2E">
      <w:r w:rsidRPr="00BE36EE">
        <w:rPr>
          <w:b/>
        </w:rPr>
        <w:t xml:space="preserve">NAME OF </w:t>
      </w:r>
      <w:r w:rsidR="005C768F">
        <w:rPr>
          <w:b/>
        </w:rPr>
        <w:t>FEDERAL OFFICIAL PROPONENT</w:t>
      </w:r>
      <w:r>
        <w:t xml:space="preserve">: </w:t>
      </w:r>
      <w:r w:rsidR="00CE6A2E">
        <w:t>JOSHUA GILES, District Ranger, Emigrant Creek Ranger District</w:t>
      </w:r>
    </w:p>
    <w:p w:rsidR="00D42DE4" w:rsidRDefault="00D42DE4" w:rsidP="000C4474"/>
    <w:p w:rsidR="00D42DE4" w:rsidRDefault="00D42DE4" w:rsidP="000C4474">
      <w:pPr>
        <w:rPr>
          <w:b/>
        </w:rPr>
      </w:pPr>
      <w:r>
        <w:rPr>
          <w:b/>
        </w:rPr>
        <w:t xml:space="preserve">LEAD OBJECTOR: </w:t>
      </w:r>
      <w:r w:rsidRPr="00D42DE4">
        <w:t>Oregon Wild</w:t>
      </w:r>
    </w:p>
    <w:p w:rsidR="000C4474" w:rsidRDefault="000C4474" w:rsidP="000C4474"/>
    <w:p w:rsidR="00D42DE4" w:rsidRPr="00D42DE4" w:rsidRDefault="00D42DE4" w:rsidP="00D42DE4">
      <w:pPr>
        <w:rPr>
          <w:rStyle w:val="updatebodytest"/>
          <w:b/>
        </w:rPr>
      </w:pPr>
      <w:r w:rsidRPr="00D42DE4">
        <w:rPr>
          <w:rStyle w:val="updatebodytest"/>
          <w:b/>
        </w:rPr>
        <w:t>NARRATIVE DESCRIPTION OF THOSE ASPECTS OF THE PROPOSED AUTHORIZED HAZARDOUS FUEL REDUCTION PROJECT ADDRESSED BY THE OBJECTION:</w:t>
      </w:r>
    </w:p>
    <w:p w:rsidR="00D42DE4" w:rsidRPr="00D42DE4" w:rsidRDefault="00D42DE4" w:rsidP="00D42DE4">
      <w:pPr>
        <w:rPr>
          <w:rStyle w:val="updatebodytest"/>
          <w:b/>
        </w:rPr>
      </w:pPr>
    </w:p>
    <w:p w:rsidR="00CE6A2E" w:rsidRPr="00E122B0" w:rsidRDefault="00E122B0" w:rsidP="00E122B0">
      <w:pPr>
        <w:pStyle w:val="ListParagraph"/>
        <w:numPr>
          <w:ilvl w:val="0"/>
          <w:numId w:val="3"/>
        </w:numPr>
        <w:shd w:val="clear" w:color="auto" w:fill="FFFFFF"/>
        <w:rPr>
          <w:color w:val="000000"/>
        </w:rPr>
      </w:pPr>
      <w:r>
        <w:rPr>
          <w:color w:val="000000"/>
        </w:rPr>
        <w:t xml:space="preserve">The FS violated NEPA by failing </w:t>
      </w:r>
      <w:r w:rsidR="00CE6A2E" w:rsidRPr="00E122B0">
        <w:rPr>
          <w:color w:val="000000"/>
        </w:rPr>
        <w:t>to provide public comment on an EA</w:t>
      </w:r>
      <w:r>
        <w:rPr>
          <w:color w:val="000000"/>
        </w:rPr>
        <w:t>.</w:t>
      </w:r>
    </w:p>
    <w:p w:rsidR="00E122B0" w:rsidRDefault="00E122B0" w:rsidP="00E122B0">
      <w:pPr>
        <w:pStyle w:val="ListParagraph"/>
        <w:numPr>
          <w:ilvl w:val="0"/>
          <w:numId w:val="3"/>
        </w:numPr>
        <w:rPr>
          <w:rStyle w:val="updatebodytest"/>
        </w:rPr>
      </w:pPr>
      <w:r>
        <w:rPr>
          <w:color w:val="000000"/>
        </w:rPr>
        <w:t xml:space="preserve">The FS violated HFRA old growth restoration requirements by failing </w:t>
      </w:r>
      <w:r w:rsidR="00CE6A2E" w:rsidRPr="00E122B0">
        <w:rPr>
          <w:color w:val="000000"/>
        </w:rPr>
        <w:t>to retain old trees regardless of size (the benefits of which are documented in the Screens Amendment EA)</w:t>
      </w:r>
      <w:r>
        <w:rPr>
          <w:color w:val="000000"/>
        </w:rPr>
        <w:t xml:space="preserve">, and by declumping the forest with a </w:t>
      </w:r>
      <w:r w:rsidRPr="00CE6A2E">
        <w:rPr>
          <w:rStyle w:val="updatebodytest"/>
        </w:rPr>
        <w:t xml:space="preserve">2x dripline </w:t>
      </w:r>
      <w:r>
        <w:rPr>
          <w:rStyle w:val="updatebodytest"/>
        </w:rPr>
        <w:t>prescription.</w:t>
      </w:r>
    </w:p>
    <w:p w:rsidR="00CE6A2E" w:rsidRPr="00E122B0" w:rsidRDefault="00E122B0" w:rsidP="00E122B0">
      <w:pPr>
        <w:pStyle w:val="ListParagraph"/>
        <w:numPr>
          <w:ilvl w:val="0"/>
          <w:numId w:val="3"/>
        </w:numPr>
        <w:shd w:val="clear" w:color="auto" w:fill="FFFFFF"/>
        <w:rPr>
          <w:color w:val="000000"/>
        </w:rPr>
      </w:pPr>
      <w:r>
        <w:rPr>
          <w:color w:val="000000"/>
        </w:rPr>
        <w:t>The FS violated the NFMA by failing to document compliance with the c</w:t>
      </w:r>
      <w:r w:rsidR="00CE6A2E" w:rsidRPr="00E122B0">
        <w:rPr>
          <w:color w:val="000000"/>
        </w:rPr>
        <w:t>onnectivity requirements of the Eastside Screens</w:t>
      </w:r>
      <w:r>
        <w:rPr>
          <w:color w:val="000000"/>
        </w:rPr>
        <w:t>.</w:t>
      </w:r>
      <w:r w:rsidR="00CE6A2E" w:rsidRPr="00E122B0">
        <w:rPr>
          <w:color w:val="000000"/>
        </w:rPr>
        <w:t> </w:t>
      </w:r>
    </w:p>
    <w:p w:rsidR="00CE6A2E" w:rsidRPr="00E122B0" w:rsidRDefault="00E122B0" w:rsidP="00E122B0">
      <w:pPr>
        <w:pStyle w:val="ListParagraph"/>
        <w:numPr>
          <w:ilvl w:val="0"/>
          <w:numId w:val="3"/>
        </w:numPr>
        <w:shd w:val="clear" w:color="auto" w:fill="FFFFFF"/>
        <w:rPr>
          <w:color w:val="000000"/>
        </w:rPr>
      </w:pPr>
      <w:r>
        <w:rPr>
          <w:color w:val="000000"/>
        </w:rPr>
        <w:t>The FS violated NEPA by failing to take a hard look at the carbon/climate consequences of logging.</w:t>
      </w:r>
    </w:p>
    <w:p w:rsidR="009272FE" w:rsidRDefault="009272FE" w:rsidP="00E122B0">
      <w:pPr>
        <w:pStyle w:val="ListParagraph"/>
        <w:numPr>
          <w:ilvl w:val="0"/>
          <w:numId w:val="3"/>
        </w:numPr>
        <w:rPr>
          <w:rStyle w:val="updatebodytest"/>
        </w:rPr>
      </w:pPr>
      <w:r>
        <w:rPr>
          <w:rStyle w:val="updatebodytest"/>
        </w:rPr>
        <w:t>Logging lodgepole up to 21” dbh violates HFRA and Eastside Screens requirement to retain large trees</w:t>
      </w:r>
    </w:p>
    <w:p w:rsidR="00E122B0" w:rsidRDefault="00E122B0" w:rsidP="00E122B0">
      <w:pPr>
        <w:pStyle w:val="ListParagraph"/>
        <w:numPr>
          <w:ilvl w:val="0"/>
          <w:numId w:val="3"/>
        </w:numPr>
        <w:rPr>
          <w:rStyle w:val="updatebodytest"/>
        </w:rPr>
      </w:pPr>
      <w:r>
        <w:rPr>
          <w:rStyle w:val="updatebodytest"/>
        </w:rPr>
        <w:t>Trump Screens Amendment is unlawful (We are preserving this claim in case the final DN relies on it.)</w:t>
      </w:r>
    </w:p>
    <w:p w:rsidR="00666492" w:rsidRPr="00D42DE4" w:rsidRDefault="00666492" w:rsidP="00D42DE4">
      <w:pPr>
        <w:rPr>
          <w:rStyle w:val="updatebodytest"/>
          <w:b/>
        </w:rPr>
      </w:pPr>
    </w:p>
    <w:p w:rsidR="00D42DE4" w:rsidRPr="00D42DE4" w:rsidRDefault="00D42DE4" w:rsidP="00D42DE4">
      <w:pPr>
        <w:rPr>
          <w:rStyle w:val="updatebodytest"/>
          <w:b/>
        </w:rPr>
      </w:pPr>
      <w:r w:rsidRPr="00D42DE4">
        <w:rPr>
          <w:rStyle w:val="updatebodytest"/>
          <w:b/>
        </w:rPr>
        <w:t>SUGGESTED REMEDIES THAT WOULD RESOLVE THE OBJECTION:</w:t>
      </w:r>
    </w:p>
    <w:p w:rsidR="000C4474" w:rsidRDefault="00363BEB" w:rsidP="000C4474">
      <w:r>
        <w:t>Oregon Wild</w:t>
      </w:r>
      <w:r w:rsidR="000C4474">
        <w:t xml:space="preserve"> respectfully requests that the Forest Service withdraw the </w:t>
      </w:r>
      <w:r w:rsidR="005C768F">
        <w:t xml:space="preserve">recommended project </w:t>
      </w:r>
      <w:r w:rsidR="000C4474">
        <w:t>and —</w:t>
      </w:r>
    </w:p>
    <w:p w:rsidR="00D42DE4" w:rsidRDefault="00DB6EB0" w:rsidP="000C4474">
      <w:pPr>
        <w:numPr>
          <w:ilvl w:val="0"/>
          <w:numId w:val="1"/>
        </w:numPr>
      </w:pPr>
      <w:r>
        <w:t>U</w:t>
      </w:r>
      <w:r w:rsidR="00D42DE4">
        <w:t xml:space="preserve">se the normal NEPA process to </w:t>
      </w:r>
      <w:r w:rsidR="003A7354">
        <w:t xml:space="preserve">develop, take comment on, and </w:t>
      </w:r>
      <w:r w:rsidR="00D42DE4">
        <w:t>consider a full range of reasonable alternatives</w:t>
      </w:r>
      <w:r>
        <w:t xml:space="preserve"> and clarifying how competing objectives will be resolved</w:t>
      </w:r>
      <w:r w:rsidR="003A7354">
        <w:t>;</w:t>
      </w:r>
    </w:p>
    <w:p w:rsidR="00D25D4C" w:rsidRDefault="00CD23A8" w:rsidP="000C4474">
      <w:pPr>
        <w:numPr>
          <w:ilvl w:val="0"/>
          <w:numId w:val="1"/>
        </w:numPr>
      </w:pPr>
      <w:r>
        <w:t>U</w:t>
      </w:r>
      <w:r w:rsidR="00D25D4C">
        <w:t>se the normal notice-comment-appeal process so that the public knows what exactly is being proposed. In this case the Forest Service has not issued a decision but rather just a document with a vague proposal</w:t>
      </w:r>
      <w:r w:rsidR="00DB6EB0">
        <w:t xml:space="preserve"> and possibly an alternative</w:t>
      </w:r>
      <w:r w:rsidR="00D25D4C">
        <w:t>; We object not only to the proposal but al to the lack of specificity</w:t>
      </w:r>
      <w:r w:rsidR="00DB6EB0">
        <w:t xml:space="preserve"> on what is being proposed and how it will be implemented</w:t>
      </w:r>
      <w:r w:rsidR="00D25D4C">
        <w:t>;</w:t>
      </w:r>
    </w:p>
    <w:p w:rsidR="000C4474" w:rsidRDefault="00DB6EB0" w:rsidP="000C4474">
      <w:pPr>
        <w:numPr>
          <w:ilvl w:val="0"/>
          <w:numId w:val="1"/>
        </w:numPr>
      </w:pPr>
      <w:r>
        <w:t>I</w:t>
      </w:r>
      <w:r w:rsidR="000C4474">
        <w:t xml:space="preserve">ssue a </w:t>
      </w:r>
      <w:r>
        <w:t xml:space="preserve">clear </w:t>
      </w:r>
      <w:r w:rsidR="000C4474">
        <w:t>decision that avoids logging</w:t>
      </w:r>
      <w:r>
        <w:t xml:space="preserve"> and road building in roadless and </w:t>
      </w:r>
      <w:r w:rsidR="000C4474">
        <w:t>unroaded</w:t>
      </w:r>
      <w:r>
        <w:t xml:space="preserve"> areas</w:t>
      </w:r>
      <w:r w:rsidR="000C4474">
        <w:t xml:space="preserve">, </w:t>
      </w:r>
      <w:r>
        <w:t>and protects mature</w:t>
      </w:r>
      <w:r w:rsidR="000C4474">
        <w:t xml:space="preserve"> and old-growth </w:t>
      </w:r>
      <w:r>
        <w:t xml:space="preserve">trees and stands </w:t>
      </w:r>
      <w:r w:rsidR="000C4474">
        <w:t xml:space="preserve">and protects </w:t>
      </w:r>
      <w:r>
        <w:t xml:space="preserve">important </w:t>
      </w:r>
      <w:r w:rsidR="000C4474">
        <w:t xml:space="preserve">habitat </w:t>
      </w:r>
      <w:r>
        <w:t xml:space="preserve">features </w:t>
      </w:r>
      <w:r w:rsidR="000C4474">
        <w:t>for native species of terrestrial</w:t>
      </w:r>
      <w:r w:rsidR="004A6BBE">
        <w:t xml:space="preserve"> and aquatic flora and fauna. Our suggestions for avoiding adverse impacts and improving this project are set forth in the “issues” discussion below; </w:t>
      </w:r>
      <w:r>
        <w:t>or</w:t>
      </w:r>
    </w:p>
    <w:p w:rsidR="000C4474" w:rsidRDefault="00CD23A8" w:rsidP="000C4474">
      <w:pPr>
        <w:numPr>
          <w:ilvl w:val="0"/>
          <w:numId w:val="1"/>
        </w:numPr>
      </w:pPr>
      <w:r>
        <w:t>P</w:t>
      </w:r>
      <w:r w:rsidR="000C4474">
        <w:t xml:space="preserve">repare a new EIS </w:t>
      </w:r>
      <w:r w:rsidR="00DB6EB0">
        <w:t xml:space="preserve">to address the significant impacts and unresolved conflicts and </w:t>
      </w:r>
      <w:r w:rsidR="000C4474">
        <w:t>fully complies with the requirements of NEPA and the CEQ regulations and addresses the specific concerns expressed below.</w:t>
      </w:r>
    </w:p>
    <w:p w:rsidR="000C4474" w:rsidRDefault="000C4474" w:rsidP="000C4474"/>
    <w:p w:rsidR="00034114" w:rsidRPr="00D42DE4" w:rsidRDefault="00034114" w:rsidP="00034114">
      <w:pPr>
        <w:rPr>
          <w:rStyle w:val="updatebodytest"/>
          <w:b/>
        </w:rPr>
      </w:pPr>
      <w:r w:rsidRPr="00D42DE4">
        <w:rPr>
          <w:rStyle w:val="updatebodytest"/>
          <w:b/>
        </w:rPr>
        <w:t>SPECIFIC ISSUES RELATED TO THE PROPOSED AUTHORIZED HAZARDOUS FUEL REDUCTION PROJECT:</w:t>
      </w:r>
    </w:p>
    <w:p w:rsidR="000C4474" w:rsidRDefault="000C4474" w:rsidP="000C4474"/>
    <w:p w:rsidR="00E46A67" w:rsidRPr="00E46A67" w:rsidRDefault="00E46A67" w:rsidP="00E46A67">
      <w:pPr>
        <w:rPr>
          <w:b/>
        </w:rPr>
      </w:pPr>
      <w:r w:rsidRPr="00E46A67">
        <w:rPr>
          <w:b/>
        </w:rPr>
        <w:t>The FS violated NEPA by failing to provide public comment on an EA.</w:t>
      </w:r>
    </w:p>
    <w:p w:rsidR="00E46A67" w:rsidRDefault="00E46A67" w:rsidP="00E46A67">
      <w:r>
        <w:lastRenderedPageBreak/>
        <w:t>The FS failed to p</w:t>
      </w:r>
      <w:r w:rsidRPr="00E46A67">
        <w:t xml:space="preserve">rovide for public comment on </w:t>
      </w:r>
      <w:r>
        <w:t>EA as required by NEPA</w:t>
      </w:r>
      <w:r w:rsidRPr="00E46A67">
        <w:t>. Scoping is too early and not rich in information. Pre-decisional objections are too late (the agency is already firmly invested in the project). HFRA does not rescind or amend the NEPA requirement for public involvement, in fact it requires the agency to follow applicable NEPA procedures.</w:t>
      </w:r>
    </w:p>
    <w:p w:rsidR="00005023" w:rsidRDefault="00005023" w:rsidP="00E46A67"/>
    <w:p w:rsidR="00005023" w:rsidRDefault="00005023" w:rsidP="00005023">
      <w:r>
        <w:t>The Forest Service must provide an opportunity for public comment on real NEPA documents, not just “proposed actions.” The CEQ regulations and voluminous case law which requires all federal agencies to provide public comment on Environmental Assessments. The proposed action generally does not include any description of the affected environment or any analysis of environmental effects upon which the public can base their opinions and comments. Failure to provide information about the affected environment and failure to provide comment on the analysis of effects undermines a core purpose of NEPA which is to inform the public. Without an informed public, the decision-maker is denied the benefit of informed comments from the public, and the quality of final decisions will suffer.</w:t>
      </w:r>
    </w:p>
    <w:p w:rsidR="00005023" w:rsidRDefault="00005023" w:rsidP="00005023"/>
    <w:p w:rsidR="00005023" w:rsidRDefault="00005023" w:rsidP="00005023">
      <w:pPr>
        <w:autoSpaceDE w:val="0"/>
      </w:pPr>
      <w:r>
        <w:t xml:space="preserve">“[A]n agency cannot exempt itself from duties plainly imposed by law; it cannot decide that only one of two statutes governs its activities when the laws themselves... clearly show that both apply.” </w:t>
      </w:r>
      <w:r>
        <w:rPr>
          <w:i/>
        </w:rPr>
        <w:t>Seattle Audubon Soc’y v. Evans</w:t>
      </w:r>
      <w:r>
        <w:t xml:space="preserve">, 952 F.2d 297, 302 (9th Cir. 1991). The Eastern District Court of California reviewed a timber sale where the Forest Service failed to provide public comment on an EA and said, “The court finds that although the CEQ regulations do not require circulation of a draft EA, they do require that the public be given as much environmental information as is practicable, prior to completion of the EA, so that the public has a sufficient basis to address those subject areas that the agency must consider in preparing the EA. … [T]he agency must offer significant pre-decisional opportunities for informed public involvement in the environmental review process by releasing sufficient environmental information about the various topics that the agency must address in the EA, such as cumulative impacts, before the EA is finalized.” </w:t>
      </w:r>
      <w:r>
        <w:rPr>
          <w:u w:val="single"/>
        </w:rPr>
        <w:t>Sierra Nevada Forest Protection Campaign v. Weingardt</w:t>
      </w:r>
      <w:r>
        <w:t>. CIV-S-04-2727 DFL KJM; CIV-S-05-0093 DFL JFM. (E.D. Cal.) June 30, 2005. As a result of this decision, the North 49 project on the Lassen National Forest, and the Eagle Ranch, Edson, and Powder projects on the Shasta-Trinity NF were all enjoined pending further public involvement and NEPA compliance.</w:t>
      </w:r>
    </w:p>
    <w:p w:rsidR="00005023" w:rsidRDefault="00005023" w:rsidP="00005023"/>
    <w:p w:rsidR="00005023" w:rsidRDefault="00005023" w:rsidP="00005023">
      <w:pPr>
        <w:spacing w:after="240"/>
      </w:pPr>
      <w:r>
        <w:t>Public participation is also best when the public is well-informed and can have a real influence on decisions. Public involvement is essential at all stages of decision-making but it is essential at the stage of commenting on well-developed NEPA documents. Scoping by itself is too early in the process. (The propose action is not yet well-developed so the public does not know what they are commenting on.) The Objection process is too late. (The agency has already made up its mind and the public’s views will likely be dismissed. Also, any members of the public would be willing to comment, but are unwilling to “object” so the new rules discourage public involvement through intimidation.)</w:t>
      </w:r>
    </w:p>
    <w:p w:rsidR="00005023" w:rsidRDefault="00005023" w:rsidP="00005023">
      <w:pPr>
        <w:spacing w:after="240"/>
      </w:pPr>
      <w:r>
        <w:lastRenderedPageBreak/>
        <w:t xml:space="preserve">A relevant court decision has rejected the agency’s use of shortcuts such as taking comment on abbreviated documents such as “proposed actions” instead of more rigorous public involvement mechanisms. The court said: </w:t>
      </w:r>
    </w:p>
    <w:p w:rsidR="00005023" w:rsidRDefault="00005023" w:rsidP="00005023">
      <w:pPr>
        <w:ind w:left="720"/>
      </w:pPr>
      <w:r>
        <w:t>These [CEQ] regulations require give and take between an agency and members of the public. See 40 C.F.R. §§ 1500.1(b) (“public scrutiny [is] essential”), 1500.2(d) (the agency must “encourage and facilitate public involvement”), 1501.4 (the agency must “involve the public, to the extent practicable, in preparing [EAs]”), 1506.6 (the agency must “make diligent efforts to involve the public” in preparing environmental documents, give “public notice of... the availability of environmental documents so as to inform those persons... who may be interested or affected,” and “solicit appropriate information from the public.”) (2004). The CEQ Regulations are mandatory, not hortatory. CBF, 341 F.3d at 970. They require that an agency give environmental information to the public and then provide an opportunity for informed comments to the agency. See 40 C.F.R. §§ 1501.4, 1506.6. This process of disclosing information to the public must occur before the agency has reached its final decision on whether to go forward with the project. Id. § 1500.1(b).</w:t>
      </w:r>
    </w:p>
    <w:p w:rsidR="00005023" w:rsidRDefault="00005023" w:rsidP="00005023">
      <w:pPr>
        <w:ind w:left="720"/>
      </w:pPr>
      <w:r>
        <w:t>…</w:t>
      </w:r>
    </w:p>
    <w:p w:rsidR="00005023" w:rsidRDefault="00005023" w:rsidP="00005023">
      <w:pPr>
        <w:ind w:left="720"/>
      </w:pPr>
      <w:r>
        <w:t>The court finds that although the CEQ regulations do not require circulation of a draft EA, they do require that the public be given as much environmental information as is practicable, prior to completion of the EA, so that the public has a sufficient basis to address those subject areas that the agency must consider in preparing the EA. Depending on the circumstances, the agency could provide adequate information through public meetings or by a reasonably thorough scoping notice. The way in which the information is provided is less important than that a sufficient amount of environmental information -- as much as practicable -- be provided so that a member of the public can weigh in on the significant decisions that the agency will make in preparing the EA. Of course, to be on the safe side, the agency can never go wrong by releasing a draft EA, and supporting documents, as was the practice until recently. See 36 C.F.R. § 215.5(b)(2)(i) (1994).</w:t>
      </w:r>
    </w:p>
    <w:p w:rsidR="00005023" w:rsidRDefault="00005023" w:rsidP="00005023">
      <w:pPr>
        <w:ind w:left="720"/>
      </w:pPr>
      <w:r>
        <w:t>…</w:t>
      </w:r>
    </w:p>
    <w:p w:rsidR="00005023" w:rsidRDefault="00005023" w:rsidP="00005023">
      <w:pPr>
        <w:ind w:left="720"/>
      </w:pPr>
      <w:r>
        <w:t>… [W]hat seems fairly drawn from the case law and the CEQ regulations is that the agency must offer significant pre-decisional opportunities for informed public involvement in the environmental review process by releasing sufficient environmental information about the various topics that the agency must address in the EA, such as cumulative impacts, before the EA is finalized.</w:t>
      </w:r>
    </w:p>
    <w:p w:rsidR="00005023" w:rsidRDefault="00005023" w:rsidP="00005023">
      <w:pPr>
        <w:ind w:left="720"/>
      </w:pPr>
      <w:r>
        <w:t>…</w:t>
      </w:r>
    </w:p>
    <w:p w:rsidR="00005023" w:rsidRDefault="00005023" w:rsidP="00005023">
      <w:pPr>
        <w:ind w:left="720"/>
        <w:rPr>
          <w:u w:val="single"/>
        </w:rPr>
      </w:pPr>
      <w:r>
        <w:t>… failure to provide essential information, already in the hands of the agency, does not comply with the agency’s requirement of involving the public “to the extent practicable.” 40 C.F.R. § 1501.4.</w:t>
      </w:r>
    </w:p>
    <w:p w:rsidR="00005023" w:rsidRDefault="00005023" w:rsidP="00005023">
      <w:r>
        <w:rPr>
          <w:u w:val="single"/>
        </w:rPr>
        <w:t>Sierra Nevada Forest Protection Campaign v. Weingardt</w:t>
      </w:r>
      <w:r>
        <w:t xml:space="preserve">. </w:t>
      </w:r>
      <w:r>
        <w:rPr>
          <w:bCs/>
          <w:iCs/>
        </w:rPr>
        <w:t xml:space="preserve">376 F. Supp. 2d 984. </w:t>
      </w:r>
      <w:r>
        <w:t>(E.D. Cal. June 30, 2005). The new pre-decisional objection rules are similary flawed in that they allow the FS to take public comment duing scoping but not take public comment on the more fully developed and informative EA.</w:t>
      </w:r>
    </w:p>
    <w:p w:rsidR="00005023" w:rsidRDefault="00005023" w:rsidP="00005023"/>
    <w:p w:rsidR="00005023" w:rsidRDefault="00005023" w:rsidP="00005023">
      <w:pPr>
        <w:spacing w:after="240"/>
      </w:pPr>
      <w:r>
        <w:lastRenderedPageBreak/>
        <w:t>Regardless of the objection regulations, the Forest Service has a separate and enforceable duty to follow the CEQ regulations which require that all federal agencies to involve the public and provide for public comment on Environmental Assessments.</w:t>
      </w:r>
    </w:p>
    <w:p w:rsidR="00005023" w:rsidRDefault="00005023" w:rsidP="00005023">
      <w:pPr>
        <w:spacing w:after="240"/>
      </w:pPr>
      <w:r>
        <w:t xml:space="preserve">To fulfill the purposes of NEPA, the decision-maker needs to have the benefit of public comment on the effects analysis. “Accurate scientific analysis, expert agency comments, and </w:t>
      </w:r>
      <w:r>
        <w:rPr>
          <w:b/>
        </w:rPr>
        <w:t>public scrutiny</w:t>
      </w:r>
      <w:r>
        <w:t xml:space="preserve"> </w:t>
      </w:r>
      <w:r>
        <w:rPr>
          <w:b/>
        </w:rPr>
        <w:t>are essential to implementing NEPA</w:t>
      </w:r>
      <w:r>
        <w:t xml:space="preserve">.” 40 CFR 1500.1(b). and “Federal agencies shall to the fullest extent possible: … (b) Implement procedures to </w:t>
      </w:r>
      <w:r>
        <w:rPr>
          <w:b/>
        </w:rPr>
        <w:t>make the NEPA process more useful to decision-makers and the public</w:t>
      </w:r>
      <w:r>
        <w:t xml:space="preserve">; … (c) </w:t>
      </w:r>
      <w:r>
        <w:rPr>
          <w:b/>
        </w:rPr>
        <w:t xml:space="preserve">Integrate the requirements of NEPA with other planning and environmental review procedures </w:t>
      </w:r>
      <w:r>
        <w:t xml:space="preserve">required by law or by agency practice so that all such procedures run concurrently rather than consecutively. (d) </w:t>
      </w:r>
      <w:r>
        <w:rPr>
          <w:b/>
        </w:rPr>
        <w:t>Encourage and facilitate public involvement</w:t>
      </w:r>
      <w:r>
        <w:t xml:space="preserve"> in decisions which affect the quality of the human environment.” 40 CFR 1500.2.</w:t>
      </w:r>
    </w:p>
    <w:p w:rsidR="00005023" w:rsidRDefault="00005023" w:rsidP="00005023">
      <w:pPr>
        <w:spacing w:after="240"/>
      </w:pPr>
      <w:r>
        <w:t xml:space="preserve">40 CFR § 1501.2 states that: “Each agency shall:” … “(b) Identify environmental effects and values in adequate detail so they can be compared to economic and technical analyses. Environmental documents and appropriate analyses shall be circulated and reviewed at the same time…” Environmental Document is defined at 40 CFR § 1508.10: “’Environmental document’ includes the documents specified in § 1508.9 (environmental assessment)…” </w:t>
      </w:r>
      <w:r>
        <w:br/>
      </w:r>
      <w:r>
        <w:br/>
        <w:t xml:space="preserve">40 CFR § 1506.6(a) also requires the Forest Service to “Make diligent efforts to involve the public in preparing and implementing their NEPA procedures.” CEQ’s 40 Questions (Question 38) clarify this by stating, “Section 1506.6 requires agencies to involve the public in implementing their NEPA procedures, and this includes public involvement in the preparation of EAs and FONSIs.” </w:t>
      </w:r>
      <w:r>
        <w:br/>
      </w:r>
      <w:r>
        <w:br/>
        <w:t xml:space="preserve">Nothing in the FS regulations states or implies that environmental documents shall no longer be circulated for review and comment to the extent practicable before decisions are made. FS regulations do not trump or invalidate the Forest Service’s obligations to comply with the CEQ’s regulations implementing NEPA (40 CFR § 1500-1508). 40 CFR §1500.2, § 1501 and § 1506 set forth a broader mandate that the whole environmental document shall be circulated as early as practicable in the NEPA process for comment by interested parties, Agencies, and those who requested it before a decision is made. </w:t>
      </w:r>
    </w:p>
    <w:p w:rsidR="00005023" w:rsidRDefault="00005023" w:rsidP="00005023">
      <w:pPr>
        <w:spacing w:before="100" w:after="100"/>
      </w:pPr>
      <w:r>
        <w:t xml:space="preserve">The courts have consistently ruled in favor of public comment on EAs. </w:t>
      </w:r>
    </w:p>
    <w:p w:rsidR="00005023" w:rsidRDefault="00005023" w:rsidP="00005023">
      <w:pPr>
        <w:spacing w:before="100" w:after="100"/>
        <w:ind w:left="720"/>
      </w:pPr>
      <w:r>
        <w:t xml:space="preserve">“Regulations promulgated by the Council on Environmental Quality provide factors that agencies must consider in deciding whether to prepare an EIS and </w:t>
      </w:r>
      <w:r>
        <w:rPr>
          <w:u w:val="single"/>
        </w:rPr>
        <w:t>emphasize the importance of involving the public in NEPA evaluations</w:t>
      </w:r>
      <w:r>
        <w:t xml:space="preserve">. 40 C.F.R. §§ 1500.2, 1502.4(b). </w:t>
      </w:r>
      <w:r>
        <w:rPr>
          <w:u w:val="single"/>
        </w:rPr>
        <w:t>The public must be given an opportunity to comment on draft EAs</w:t>
      </w:r>
      <w:r>
        <w:t xml:space="preserve"> and EISes, and public hearings are encouraged to facilitate input on the evaluation of proposed actions. See 40 C.F.R §§ 1503.1, 1506.6.” Anderson v. Evans, 350 F.3d 815, 831 (9th Cir. 2002).</w:t>
      </w:r>
    </w:p>
    <w:p w:rsidR="00005023" w:rsidRDefault="00005023" w:rsidP="00005023">
      <w:pPr>
        <w:spacing w:before="100" w:after="100"/>
        <w:ind w:left="720"/>
      </w:pPr>
      <w:r>
        <w:t>“</w:t>
      </w:r>
      <w:r>
        <w:rPr>
          <w:u w:val="single"/>
        </w:rPr>
        <w:t>Citizens were deprived of the opportunity to comment on the USDA’s EA and FONSI</w:t>
      </w:r>
      <w:r>
        <w:t xml:space="preserve"> at all points in the rulemaking process. This deprivation violated their </w:t>
      </w:r>
      <w:r>
        <w:lastRenderedPageBreak/>
        <w:t>rights under the regulations implementing NEPA. See 40 C.F.R. § 1501.4(b) (‘The agency shall involve the public, to the extent practicable, in preparing [EAs]....’); id. § 1506.6 (‘Agencies shall... make diligent efforts to involve the public in preparing and implementing their NEPA procedures[,]... provide public notice of... the availability of environmental documents so as to inform those persons... who may be interested or affected[,] [and]... solicit appropriate information from the public.’). But cf. Pogliani v. United States Army Corps of Eng'rs, 306 F.3d 1235, 1238-39 (2d Cir. 2002) (per curiam) (holding that environmental plaintiffs have no right to see and comment on EAs/FONSIs before they issue, unless 40 C.F.R. § 1501.4(e) applies).</w:t>
      </w:r>
    </w:p>
    <w:p w:rsidR="00005023" w:rsidRDefault="00005023" w:rsidP="00005023">
      <w:pPr>
        <w:spacing w:before="100" w:after="100"/>
        <w:ind w:left="720"/>
      </w:pPr>
      <w:r>
        <w:t>“We reject the USDA’s dismissal of these regulatory requirements as ‘hortatory.’ Although it is true that ‘an EA need not conform to all the requirements of an EIS,’ S. Or. Citizens Against Toxic Sprays, Inc. v. Clark, 720 F.2d 1475, 1480 (9th Cir. 1983), this requirement does not mean that 40 C.F.R. §§ 1501.4(b) and 1506.6 are without substance. We have previously interpreted these regulations to mean that ‘</w:t>
      </w:r>
      <w:r>
        <w:rPr>
          <w:u w:val="single"/>
        </w:rPr>
        <w:t>the public must be given an opportunity to comment on draft EAs</w:t>
      </w:r>
      <w:r>
        <w:t xml:space="preserve"> and EISs.’ Anderson v. Evans, 314 F.3d 1006, 1016 (9th Cir. 2002). The Second Circuit has held that § 1501.4 is satisfied when the agency ‘conducted public hearings and received written comments on every draft environmental assessment [and] circulated for comment its Preliminary Analysis of the environmental assessment,’ even though it did not circulate for public comment a follow-up independent analysis it prepared in response to public comments. Town of Rye v. Skinner, 907 F.2d 23, 24 (2d Cir. 1990) (</w:t>
      </w:r>
      <w:r>
        <w:rPr>
          <w:i/>
        </w:rPr>
        <w:t>per curiam</w:t>
      </w:r>
      <w:r>
        <w:t>); see also Hanly v. Kleindienst, 471 F.2d 823, 836 (2d Cir. 1972) (‘Before a preliminary or threshold determination of significance is made the responsible agency must give notice to the public of the proposed major federal action and an opportunity to submit relevant facts which might bear upon the agency's threshold decision.’).</w:t>
      </w:r>
    </w:p>
    <w:p w:rsidR="00005023" w:rsidRDefault="00005023" w:rsidP="00005023">
      <w:pPr>
        <w:ind w:left="720"/>
        <w:rPr>
          <w:u w:val="single"/>
        </w:rPr>
      </w:pPr>
      <w:r>
        <w:t>“Although we have not established a minimum level of public comment and participation required by the regulations governing the EA and FONSI process, we clearly have held that the regulations at issue must mean something. Cf. Hart v. McLucas, 535 F.2d 516, 519 (9th Cir. 1976) (‘In the construction of administrative regulations..., it is presumed that every phrase serves a legitimate purpose....’). It is evident, therefore, that a complete failure to involve or even inform the public about an agency’s preparation of an EA and a FONSI, as was the case here, violates these regulations. This wholesale neglect of the regulations’ mandatory inclusion of the public in the process results in a procedural injury. Moreover, it undermines the very purpose of NEPA, which is to ‘ensure[ ] that federal agencies are informed of environmental consequences before making decisions and that the information is available to the public.’ Okanogan Highlands Alliance v. Williams, 236 F.3d 468, 473 (9th Cir. 2000).”</w:t>
      </w:r>
    </w:p>
    <w:p w:rsidR="00005023" w:rsidRDefault="00005023" w:rsidP="00005023">
      <w:r>
        <w:rPr>
          <w:u w:val="single"/>
        </w:rPr>
        <w:t>Citizens for Better Forestry v. USDA</w:t>
      </w:r>
      <w:r>
        <w:t>, 341 F.3d 961, 970-71 (9th Cir. 2003).</w:t>
      </w:r>
    </w:p>
    <w:p w:rsidR="00005023" w:rsidRDefault="006B177F" w:rsidP="00005023">
      <w:hyperlink r:id="rId13" w:history="1">
        <w:r w:rsidR="00005023">
          <w:rPr>
            <w:rStyle w:val="Hyperlink"/>
          </w:rPr>
          <w:t>http://openjurist.org/341/f3d/961/citizens-for-better-forestry</w:t>
        </w:r>
      </w:hyperlink>
      <w:r w:rsidR="00005023">
        <w:t>.</w:t>
      </w:r>
    </w:p>
    <w:p w:rsidR="00005023" w:rsidRDefault="00005023" w:rsidP="00005023"/>
    <w:p w:rsidR="00005023" w:rsidRDefault="00005023" w:rsidP="00005023">
      <w:r>
        <w:t xml:space="preserve">NEPA requires federal agencies to, in the fullest extent possible, “[e]ncourage and facilitate public involvement in decisions which affect the quality of the human environment.” 40 C.F.R. § 1500.2(d); see also National Park and Conservation Ass’n v. </w:t>
      </w:r>
      <w:r>
        <w:lastRenderedPageBreak/>
        <w:t>Federal Aviation Admin., 998 F.2d 1523, 1531 (10th Cir. 1993) (“Congress, through... NEPA, has determined that the public has a right to participate in actions affecting public lands.”); Sierra Club v. Hodel, 848 F.2d 1068, 1093 (10th Cir. 1988) (NEPA “provides for broad-based participation” and requires “a cross-pollinization of views.”). Specifically, NEPA’s public participation regulations require the Forest Service to “(a) [m]ake diligent efforts to involve the public in preparing and implementing their NEPA procedures” and to “(b) [p]rovide public notice of NEPA-related hearings, public meetings, and the availability of environmental documents so as to inform those persons and agencies who may be interested or affected.” 40 C.F.R. § 1506.6(b). </w:t>
      </w:r>
    </w:p>
    <w:p w:rsidR="00005023" w:rsidRDefault="00005023" w:rsidP="00005023"/>
    <w:p w:rsidR="00005023" w:rsidRDefault="00005023" w:rsidP="00005023">
      <w:pPr>
        <w:shd w:val="clear" w:color="auto" w:fill="FFFFFF"/>
        <w:rPr>
          <w:rFonts w:ascii="Times-Roman" w:hAnsi="Times-Roman" w:cs="Times-Roman"/>
          <w:b/>
          <w:bCs/>
          <w:color w:val="000000"/>
        </w:rPr>
      </w:pPr>
      <w:r>
        <w:t>Procedures implementing the National Environmental Policy Act (“NEPA”) “must insure that env</w:t>
      </w:r>
      <w:r>
        <w:rPr>
          <w:color w:val="000000"/>
        </w:rPr>
        <w:t xml:space="preserve">ironmental information is available to public officials and citizens before decisions are made and before actions are taken.” 40 C.F.R. § 1500.1(b). </w:t>
      </w:r>
    </w:p>
    <w:p w:rsidR="00005023" w:rsidRDefault="00005023" w:rsidP="00005023">
      <w:pPr>
        <w:shd w:val="clear" w:color="auto" w:fill="FFFFFF"/>
        <w:rPr>
          <w:color w:val="000000"/>
        </w:rPr>
      </w:pPr>
      <w:r>
        <w:rPr>
          <w:rFonts w:ascii="Times-Roman" w:hAnsi="Times-Roman" w:cs="Times-Roman"/>
          <w:b/>
          <w:bCs/>
          <w:color w:val="000000"/>
        </w:rPr>
        <w:t> </w:t>
      </w:r>
    </w:p>
    <w:p w:rsidR="00005023" w:rsidRDefault="00005023" w:rsidP="00005023">
      <w:pPr>
        <w:shd w:val="clear" w:color="auto" w:fill="FFFFFF"/>
        <w:rPr>
          <w:color w:val="000000"/>
        </w:rPr>
      </w:pPr>
      <w:r>
        <w:rPr>
          <w:color w:val="000000"/>
        </w:rPr>
        <w:t xml:space="preserve">Congress designed NEPA to ensure a process of information disclosure and not a particular result. </w:t>
      </w:r>
      <w:r>
        <w:rPr>
          <w:i/>
          <w:iCs/>
          <w:color w:val="000000"/>
        </w:rPr>
        <w:t>SeeInland Empire Public Lands Council v. United States Forest Serv.</w:t>
      </w:r>
      <w:r>
        <w:rPr>
          <w:color w:val="000000"/>
        </w:rPr>
        <w:t>, 88 F.3d 754, 758 (9th Cir. 1996). NEPA requires informed agency decision-making through informed public participation. </w:t>
      </w:r>
      <w:r>
        <w:rPr>
          <w:i/>
          <w:iCs/>
          <w:color w:val="000000"/>
        </w:rPr>
        <w:t>See id</w:t>
      </w:r>
      <w:r>
        <w:rPr>
          <w:color w:val="000000"/>
        </w:rPr>
        <w:t>.; </w:t>
      </w:r>
      <w:r>
        <w:rPr>
          <w:i/>
          <w:iCs/>
          <w:color w:val="000000"/>
        </w:rPr>
        <w:t>Robertson v. Methow Citizens Council</w:t>
      </w:r>
      <w:r>
        <w:rPr>
          <w:color w:val="000000"/>
        </w:rPr>
        <w:t>, 490 U.S. 332, 349, 104 L. Ed. 2d 351, 109 S.Ct. 1835 (1989); </w:t>
      </w:r>
      <w:r>
        <w:rPr>
          <w:i/>
          <w:iCs/>
          <w:color w:val="000000"/>
        </w:rPr>
        <w:t>Citizens for Better Forestry v. USDA</w:t>
      </w:r>
      <w:r>
        <w:rPr>
          <w:color w:val="000000"/>
        </w:rPr>
        <w:t>, 341 F.3d 961, 970-71 (9th Cir. 2003) (“CBF”), quoting </w:t>
      </w:r>
      <w:r>
        <w:rPr>
          <w:i/>
          <w:iCs/>
          <w:color w:val="000000"/>
        </w:rPr>
        <w:t>Okanogan Highlands Alliance v. Williams</w:t>
      </w:r>
      <w:r>
        <w:rPr>
          <w:color w:val="000000"/>
        </w:rPr>
        <w:t>, 236 F.3d 468, 473</w:t>
      </w:r>
      <w:r>
        <w:rPr>
          <w:i/>
          <w:iCs/>
          <w:color w:val="000000"/>
        </w:rPr>
        <w:t> (</w:t>
      </w:r>
      <w:r>
        <w:rPr>
          <w:color w:val="000000"/>
        </w:rPr>
        <w:t>9th Cir. 2000</w:t>
      </w:r>
      <w:r>
        <w:rPr>
          <w:i/>
          <w:iCs/>
          <w:color w:val="000000"/>
        </w:rPr>
        <w:t>)</w:t>
      </w:r>
      <w:r>
        <w:rPr>
          <w:color w:val="000000"/>
        </w:rPr>
        <w:t> (“[T]he very purpose of NEPA... is to ensure [] that federal agencies are informed of environmental consequences before making decisions and that the information is available to the public.’”).</w:t>
      </w:r>
    </w:p>
    <w:p w:rsidR="00005023" w:rsidRDefault="00005023" w:rsidP="00005023">
      <w:pPr>
        <w:shd w:val="clear" w:color="auto" w:fill="FFFFFF"/>
        <w:ind w:firstLine="720"/>
        <w:rPr>
          <w:color w:val="000000"/>
        </w:rPr>
      </w:pPr>
      <w:r>
        <w:rPr>
          <w:color w:val="000000"/>
        </w:rPr>
        <w:t> </w:t>
      </w:r>
    </w:p>
    <w:p w:rsidR="00005023" w:rsidRDefault="00005023" w:rsidP="00005023">
      <w:pPr>
        <w:shd w:val="clear" w:color="auto" w:fill="FFFFFF"/>
        <w:rPr>
          <w:color w:val="000000"/>
        </w:rPr>
      </w:pPr>
      <w:r>
        <w:rPr>
          <w:color w:val="000000"/>
        </w:rPr>
        <w:t xml:space="preserve">The Council on Environmental Quality (“CEQ”) promulgated regulations to ensure that the policies and requirements of NEPA will be carried out by federal agencies. </w:t>
      </w:r>
      <w:r>
        <w:rPr>
          <w:i/>
          <w:iCs/>
          <w:color w:val="000000"/>
        </w:rPr>
        <w:t>See</w:t>
      </w:r>
      <w:r>
        <w:rPr>
          <w:color w:val="000000"/>
        </w:rPr>
        <w:t xml:space="preserve"> 42 U.S.C. § 4344. Those regulations require give and take between an agency and members of the public. </w:t>
      </w:r>
      <w:r>
        <w:rPr>
          <w:i/>
          <w:iCs/>
          <w:color w:val="000000"/>
        </w:rPr>
        <w:t>See </w:t>
      </w:r>
      <w:r>
        <w:rPr>
          <w:color w:val="000000"/>
        </w:rPr>
        <w:t xml:space="preserve">40 C.F.R. §§ 1500.1(b) (“public scrutiny [is] essential”), 1500.2(d) (the agency must “encourage and facilitate public involvement”), 1501.4 (the agency must “involve the public, to the extent practicable, in preparing [EAs]”), 1506.6 (requiring agencies to make diligent efforts to involve the public in preparing and implementing their NEPA procedures) (2004). The CEQ regulations implementing NEPA are mandatory. </w:t>
      </w:r>
      <w:r>
        <w:rPr>
          <w:i/>
          <w:iCs/>
          <w:color w:val="000000"/>
        </w:rPr>
        <w:t>See</w:t>
      </w:r>
      <w:r>
        <w:rPr>
          <w:color w:val="000000"/>
        </w:rPr>
        <w:t> </w:t>
      </w:r>
      <w:r>
        <w:rPr>
          <w:i/>
          <w:iCs/>
          <w:color w:val="000000"/>
        </w:rPr>
        <w:t>CBF v. USDA</w:t>
      </w:r>
      <w:r>
        <w:rPr>
          <w:color w:val="000000"/>
        </w:rPr>
        <w:t xml:space="preserve">, 341 F.3d at 970. They require that an agency give environmental information to the public and then provide an opportunity for informed comments to the agency. </w:t>
      </w:r>
      <w:r>
        <w:rPr>
          <w:i/>
          <w:iCs/>
          <w:color w:val="000000"/>
        </w:rPr>
        <w:t>See</w:t>
      </w:r>
      <w:r>
        <w:rPr>
          <w:color w:val="000000"/>
        </w:rPr>
        <w:t> 40 C.F.R. §§ 1501.4, 1506.6. This process of information disclosure to the public must occur </w:t>
      </w:r>
      <w:r>
        <w:rPr>
          <w:color w:val="000000"/>
          <w:u w:val="single"/>
        </w:rPr>
        <w:t>before</w:t>
      </w:r>
      <w:r>
        <w:rPr>
          <w:color w:val="000000"/>
        </w:rPr>
        <w:t xml:space="preserve"> the agency has reached a final decision on whether to implement a proposed action. </w:t>
      </w:r>
      <w:r>
        <w:rPr>
          <w:i/>
          <w:iCs/>
          <w:color w:val="000000"/>
        </w:rPr>
        <w:t>Id</w:t>
      </w:r>
      <w:r>
        <w:rPr>
          <w:color w:val="000000"/>
        </w:rPr>
        <w:t>. § 1500.1(b).</w:t>
      </w:r>
    </w:p>
    <w:p w:rsidR="00005023" w:rsidRDefault="00005023" w:rsidP="00005023">
      <w:pPr>
        <w:shd w:val="clear" w:color="auto" w:fill="FFFFFF"/>
        <w:rPr>
          <w:color w:val="000000"/>
        </w:rPr>
      </w:pPr>
    </w:p>
    <w:p w:rsidR="00005023" w:rsidRDefault="00005023" w:rsidP="00005023">
      <w:pPr>
        <w:shd w:val="clear" w:color="auto" w:fill="FFFFFF"/>
      </w:pPr>
      <w:r>
        <w:rPr>
          <w:color w:val="000000"/>
        </w:rPr>
        <w:t>HFRA § 104 says: “</w:t>
      </w:r>
      <w:r>
        <w:t>(g) ENVIRONMENTAL ANALYSIS AND PUBLIC COMMENT.—In accordance with section 102(2) of the National Environmental Policy Act of 1969 (42 U.S.C. 4332(2)) and the applicable regulations and administrative guidelines, the Secretary shall provide an opportunity for public comment during the preparation of any environmental assessment or environmental impact statement for an authorized hazardous fuel reduction project.”</w:t>
      </w:r>
    </w:p>
    <w:p w:rsidR="00005023" w:rsidRDefault="00005023" w:rsidP="00005023">
      <w:pPr>
        <w:shd w:val="clear" w:color="auto" w:fill="FFFFFF"/>
      </w:pPr>
    </w:p>
    <w:p w:rsidR="00005023" w:rsidRPr="001B7132" w:rsidRDefault="00005023" w:rsidP="00005023">
      <w:pPr>
        <w:shd w:val="clear" w:color="auto" w:fill="FFFFFF"/>
      </w:pPr>
      <w:r>
        <w:lastRenderedPageBreak/>
        <w:t xml:space="preserve">36 CFR </w:t>
      </w:r>
      <w:r w:rsidRPr="001B7132">
        <w:t>§218.24   Notification of opportunity to comment on proposed projects and activities.</w:t>
      </w:r>
    </w:p>
    <w:p w:rsidR="00005023" w:rsidRPr="001B7132" w:rsidRDefault="00005023" w:rsidP="00005023">
      <w:pPr>
        <w:shd w:val="clear" w:color="auto" w:fill="FFFFFF"/>
        <w:ind w:left="720"/>
      </w:pPr>
      <w:r w:rsidRPr="001B7132">
        <w:t>(a) Responsible official. The responsible official shall:</w:t>
      </w:r>
    </w:p>
    <w:p w:rsidR="00005023" w:rsidRPr="001B7132" w:rsidRDefault="00005023" w:rsidP="00005023">
      <w:pPr>
        <w:shd w:val="clear" w:color="auto" w:fill="FFFFFF"/>
        <w:ind w:left="720"/>
      </w:pPr>
      <w:r w:rsidRPr="001B7132">
        <w:t>(1) Provide legal notice of the opportunity to comment on a proposed project or activity implementing a land management plan.</w:t>
      </w:r>
    </w:p>
    <w:p w:rsidR="00005023" w:rsidRDefault="00005023" w:rsidP="00005023">
      <w:pPr>
        <w:shd w:val="clear" w:color="auto" w:fill="FFFFFF"/>
        <w:ind w:left="720"/>
      </w:pPr>
      <w:r w:rsidRPr="001B7132">
        <w:t>(2) Determine the most effective timing and then publish the legal notice of the opportunity to comment</w:t>
      </w:r>
      <w:r>
        <w:t xml:space="preserve"> ...</w:t>
      </w:r>
    </w:p>
    <w:p w:rsidR="00E46A67" w:rsidRDefault="00E46A67" w:rsidP="00E46A67"/>
    <w:p w:rsidR="00E46A67" w:rsidRPr="008A5282" w:rsidRDefault="00B36CA0" w:rsidP="00E46A67">
      <w:pPr>
        <w:rPr>
          <w:b/>
        </w:rPr>
      </w:pPr>
      <w:r>
        <w:rPr>
          <w:b/>
        </w:rPr>
        <w:t>The FS violated HFRA old-</w:t>
      </w:r>
      <w:r w:rsidR="00E46A67" w:rsidRPr="00E46A67">
        <w:rPr>
          <w:b/>
        </w:rPr>
        <w:t>growth restoration requirements by failing to retain old trees regardless of size, and by declumping the forest with a 2x dripline prescription</w:t>
      </w:r>
      <w:r w:rsidR="00E46A67">
        <w:rPr>
          <w:b/>
        </w:rPr>
        <w:t xml:space="preserve">, and failed </w:t>
      </w:r>
      <w:r w:rsidR="00E46A67" w:rsidRPr="008A5282">
        <w:rPr>
          <w:b/>
        </w:rPr>
        <w:t>to consider an alternative that would conserve old trees regardless of size</w:t>
      </w:r>
      <w:r w:rsidR="00E46A67">
        <w:rPr>
          <w:b/>
        </w:rPr>
        <w:t xml:space="preserve"> and restore clumps of large and old trees</w:t>
      </w:r>
      <w:r w:rsidR="00E46A67" w:rsidRPr="008A5282">
        <w:rPr>
          <w:b/>
        </w:rPr>
        <w:t>.</w:t>
      </w:r>
    </w:p>
    <w:p w:rsidR="00E46A67" w:rsidRDefault="00E46A67" w:rsidP="00E46A67"/>
    <w:p w:rsidR="00E46A67" w:rsidRPr="00054DE1" w:rsidRDefault="001C579A" w:rsidP="00E46A67">
      <w:pPr>
        <w:tabs>
          <w:tab w:val="left" w:pos="7830"/>
        </w:tabs>
        <w:spacing w:after="100" w:afterAutospacing="1"/>
        <w:rPr>
          <w:color w:val="222222"/>
        </w:rPr>
      </w:pPr>
      <w:r>
        <w:rPr>
          <w:color w:val="222222"/>
        </w:rPr>
        <w:t>T</w:t>
      </w:r>
      <w:r w:rsidR="00E46A67" w:rsidRPr="005F1639">
        <w:rPr>
          <w:color w:val="222222"/>
        </w:rPr>
        <w:t xml:space="preserve">his is an HFRA project with an explicit requirement to retain large trees and restore old growth, all the prescriptions must retain </w:t>
      </w:r>
      <w:r>
        <w:rPr>
          <w:color w:val="222222"/>
        </w:rPr>
        <w:t>large trees, old trees, and tree clumps</w:t>
      </w:r>
      <w:r w:rsidR="00E46A67" w:rsidRPr="005F1639">
        <w:rPr>
          <w:color w:val="222222"/>
        </w:rPr>
        <w:t xml:space="preserve">. Where large </w:t>
      </w:r>
      <w:r>
        <w:rPr>
          <w:color w:val="222222"/>
        </w:rPr>
        <w:t xml:space="preserve">and old </w:t>
      </w:r>
      <w:r w:rsidR="00E46A67" w:rsidRPr="005F1639">
        <w:rPr>
          <w:color w:val="222222"/>
        </w:rPr>
        <w:t>trees seem to be “too dense” from a foresters perspective, they are doing just fine from an ecologists perspective. Competition among large trees means that some will die and be recruited as highly valuable large snags. This will help restore old growth characteristics as intended by HFRA. Logging large trees will prevent those trees from fulfilling their important and irreplaceable ecological functions as both large trees and large snags. Large trees are not a fire hazard because large trees are fire resilient, and the fine fuels in the canopy are held high above the ground, out of the way of surface fires. Even when large trees die the fine fuels tend to fall to the ground gradually and decay to help build the soil, posing a discontinuous and insignificant fire hazard.</w:t>
      </w:r>
    </w:p>
    <w:p w:rsidR="00E46A67" w:rsidRDefault="00E46A67" w:rsidP="00E46A67">
      <w:pPr>
        <w:tabs>
          <w:tab w:val="left" w:pos="7830"/>
        </w:tabs>
        <w:spacing w:after="100" w:afterAutospacing="1"/>
      </w:pPr>
      <w:r w:rsidRPr="005F1639">
        <w:rPr>
          <w:color w:val="222222"/>
        </w:rPr>
        <w:t>Many trees are ecologically valuable and deserving of conservation even if they are not larger than 21” dbh.</w:t>
      </w:r>
      <w:r w:rsidRPr="005F1639">
        <w:rPr>
          <w:b/>
          <w:color w:val="222222"/>
        </w:rPr>
        <w:t xml:space="preserve"> </w:t>
      </w:r>
      <w:r>
        <w:t>E</w:t>
      </w:r>
      <w:r w:rsidRPr="00237AE7">
        <w:t>specially here where growing condit</w:t>
      </w:r>
      <w:r>
        <w:t>ions are not highly favorable, t</w:t>
      </w:r>
      <w:r w:rsidRPr="00237AE7">
        <w:t xml:space="preserve">rees less than 21 inches dbh can be old and valuable for the forest ecosystem. We </w:t>
      </w:r>
      <w:r>
        <w:t xml:space="preserve">have consistently </w:t>
      </w:r>
      <w:r w:rsidRPr="00237AE7">
        <w:t>urge</w:t>
      </w:r>
      <w:r>
        <w:t>d</w:t>
      </w:r>
      <w:r w:rsidRPr="00237AE7">
        <w:t xml:space="preserve"> the agency to protect trees with “old-growth morphology” regardless of size. (e.g. Yellow-barked ponderosa pine or any species with large drooping limbs, twisted trunks or flattened tops.) </w:t>
      </w:r>
      <w:r>
        <w:t xml:space="preserve">Conserving old trees regardless of size is warranted by HFRA which calls for maximal restoration of old growth characteristics, and the evidence for conserving old trees are also articulated in the 2020 EA supporting the Amendment of the Eastside Screens. </w:t>
      </w:r>
    </w:p>
    <w:p w:rsidR="00E46A67" w:rsidRPr="00237AE7" w:rsidRDefault="00E46A67" w:rsidP="00E46A67">
      <w:pPr>
        <w:tabs>
          <w:tab w:val="left" w:pos="7830"/>
        </w:tabs>
        <w:spacing w:after="100" w:afterAutospacing="1"/>
      </w:pPr>
      <w:r w:rsidRPr="00237AE7">
        <w:t xml:space="preserve">Science indicates that slow-growing small old trees tend to be resilient and add to the diversity and resilience of forests. Black, Colber, and Pederson. 2008. Relationship between radial growth rates and lifespan within North American tree species. Ecoscience 15(3), 349-357 (2008). </w:t>
      </w:r>
      <w:hyperlink r:id="rId14" w:history="1">
        <w:r w:rsidRPr="00237AE7">
          <w:rPr>
            <w:rStyle w:val="Hyperlink"/>
          </w:rPr>
          <w:t>http://fate.nmfs.noaa.gov/documents/Publications/Black_et_al_2008_Ecoscience.pdf</w:t>
        </w:r>
      </w:hyperlink>
      <w:r w:rsidRPr="00237AE7">
        <w:t xml:space="preserve"> (See also Tobias Züst, Bindu Joseph, Kentaro K. Shimizu, Daniel J. Kliebenstein and Lindsay A. Turnbull, Using knockout mutants to reveal the growth costs of defensive traits, in: </w:t>
      </w:r>
      <w:r w:rsidRPr="00237AE7">
        <w:rPr>
          <w:i/>
          <w:iCs/>
        </w:rPr>
        <w:t>Proceedings of the Royal Society B,</w:t>
      </w:r>
      <w:r w:rsidRPr="00237AE7">
        <w:t xml:space="preserve"> 2011, Jan. 26, doi:10.1098/rspb.2010.2475. </w:t>
      </w:r>
    </w:p>
    <w:p w:rsidR="00E46A67" w:rsidRDefault="00E46A67" w:rsidP="00E46A67">
      <w:pPr>
        <w:pStyle w:val="CommentText"/>
        <w:tabs>
          <w:tab w:val="left" w:pos="7830"/>
        </w:tabs>
        <w:rPr>
          <w:sz w:val="24"/>
          <w:szCs w:val="24"/>
        </w:rPr>
      </w:pPr>
      <w:r>
        <w:rPr>
          <w:sz w:val="24"/>
          <w:szCs w:val="24"/>
        </w:rPr>
        <w:t>Franklin &amp; Johnson (2013) explain why it is important to conserve small old trees:</w:t>
      </w:r>
    </w:p>
    <w:p w:rsidR="00E46A67" w:rsidRPr="00F3188D" w:rsidRDefault="00E46A67" w:rsidP="00E46A67">
      <w:pPr>
        <w:pStyle w:val="CommentText"/>
        <w:tabs>
          <w:tab w:val="left" w:pos="7830"/>
        </w:tabs>
        <w:ind w:left="720"/>
        <w:rPr>
          <w:rFonts w:ascii="Times New Roman" w:hAnsi="Times New Roman" w:cs="Times New Roman"/>
          <w:b/>
          <w:sz w:val="24"/>
          <w:szCs w:val="24"/>
          <w:lang w:eastAsia="en-US"/>
        </w:rPr>
      </w:pPr>
      <w:r w:rsidRPr="00F3188D">
        <w:rPr>
          <w:rFonts w:ascii="Times New Roman" w:hAnsi="Times New Roman" w:cs="Times New Roman"/>
          <w:b/>
          <w:sz w:val="24"/>
          <w:szCs w:val="24"/>
          <w:lang w:eastAsia="en-US"/>
        </w:rPr>
        <w:lastRenderedPageBreak/>
        <w:t>Box 8: Removal of Small Old Ponderosa Pine Trees in Dry Forest Restoration Projects</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r w:rsidRPr="00F3188D">
        <w:rPr>
          <w:rFonts w:ascii="Times New Roman" w:hAnsi="Times New Roman" w:cs="Times New Roman"/>
          <w:sz w:val="24"/>
          <w:szCs w:val="24"/>
          <w:lang w:eastAsia="en-US"/>
        </w:rPr>
        <w:t>Removal of small (&lt;21" dbh), older (&gt;150 yr) ponderosa pine trees is sometimes proposed as a part of Dry Forest restoration projects. These older trees are important ecological components of Dry Forests, despite their smaller size, which is why we recommend their retention along with larger old trees. Ponderosa pine &gt;150 years include older mature pines (150 to 200 years) that are beginning to develop old-growth attributes and will become fully developed old-growth trees after about 200 years.</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r w:rsidRPr="00F3188D">
        <w:rPr>
          <w:rFonts w:ascii="Times New Roman" w:hAnsi="Times New Roman" w:cs="Times New Roman"/>
          <w:sz w:val="24"/>
          <w:szCs w:val="24"/>
          <w:lang w:eastAsia="en-US"/>
        </w:rPr>
        <w:t>Small old trees fulfill many of the functions that larger old trees provide. These trees have:</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1. A significant percentage of heartwood, which exhibits different patterns of decay than sapwood (in live trees, snags, and logs). Young ponderosa pine have relatively little and poorly developed heartwood. Snags from old trees persist for a longer time than snags from younger trees of comparable (or even larger) diameter, and</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down wood (either bole or branches) decays differently than that of young trees.</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2. Distinctive complex crowns and large branches that differ from those found on younger pines and that often have developed various defects (e.g., forks, brooms, and cavities) not present in younger ponderosa pine.</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3. Greater value for wildlife than young trees of comparable or even larger diameter as a consequence of the preceding points – complex and distinctive crowns and significant heartwood content, which is reflected in quality wildlife habitat in both living and dead trees.</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4. Bark that is thicker and fire resistant relative to the tree’s diameter, making the trees more resistant to fire than younger trees of comparable diameter. Since these smaller old trees exhibit many of the attributes of larger old trees, albeit it on a smaller scale, their retention is part of ecologically-focused restoration treatments. </w:t>
      </w:r>
    </w:p>
    <w:p w:rsidR="00E46A67"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r w:rsidRPr="00F3188D">
        <w:rPr>
          <w:rFonts w:ascii="Times New Roman" w:hAnsi="Times New Roman" w:cs="Times New Roman"/>
          <w:sz w:val="24"/>
          <w:szCs w:val="24"/>
          <w:lang w:eastAsia="en-US"/>
        </w:rPr>
        <w:t>When clusters of old ponderosa pine trees that include small old trees are encountered, silviculturists sometimes assume that significant competition must be taking place within these clusters, particularly if they observe mortality of individual trees. This inference of significant competition is unwarranted, however, and may reflect the silviculturist’s projection of the competitive processes of tightly spaced young trees.</w:t>
      </w:r>
      <w:r>
        <w:rPr>
          <w:rFonts w:ascii="Times New Roman" w:hAnsi="Times New Roman" w:cs="Times New Roman"/>
          <w:sz w:val="24"/>
          <w:szCs w:val="24"/>
          <w:lang w:eastAsia="en-US"/>
        </w:rPr>
        <w:t xml:space="preserve"> </w:t>
      </w:r>
      <w:r w:rsidRPr="00F3188D">
        <w:rPr>
          <w:rFonts w:ascii="Times New Roman" w:hAnsi="Times New Roman" w:cs="Times New Roman"/>
          <w:sz w:val="24"/>
          <w:szCs w:val="24"/>
          <w:lang w:eastAsia="en-US"/>
        </w:rPr>
        <w:t xml:space="preserve">The old trees in these clusters have not only survived that period of  youthful competition but almost certainly have established mutual relationships with each other, such as significant root grafting </w:t>
      </w:r>
      <w:r w:rsidRPr="00F3188D">
        <w:rPr>
          <w:rFonts w:ascii="Times New Roman" w:hAnsi="Times New Roman" w:cs="Times New Roman"/>
          <w:sz w:val="24"/>
          <w:szCs w:val="24"/>
          <w:lang w:eastAsia="en-US"/>
        </w:rPr>
        <w:lastRenderedPageBreak/>
        <w:t>and shared mycorrhizal masses. Thus, these clusters of old trees are more likely to be mutually supportive than competitive.</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r w:rsidRPr="00F3188D">
        <w:rPr>
          <w:rFonts w:ascii="Times New Roman" w:hAnsi="Times New Roman" w:cs="Times New Roman"/>
          <w:sz w:val="24"/>
          <w:szCs w:val="24"/>
          <w:lang w:eastAsia="en-US"/>
        </w:rPr>
        <w:t>Nevertheless, proposals for removal of removal of small older pine trees will arise and the following points should be considered:</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1. An ecological justification for the removal of small (&lt;21" dbh), old (&gt;150 yr) ponderosa pine trees has not been established.</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2. Proposals for removal of small old ponderosa pine trees would need to be based on economic necessity—that removal of some or all of these trees is necessary to create an economically viable or an economically more valuable restoration project.</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3. If a project is calculated to be non-viable economically, we recommend consideration of the following adjustments prior to planning removal of small old ponderosa pine trees:</w:t>
      </w:r>
    </w:p>
    <w:p w:rsidR="00E46A67" w:rsidRPr="00F3188D" w:rsidRDefault="00E46A67" w:rsidP="00E46A67">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Adjustment of the boundaries of the project area so as to include additional areas that will generate larger volumes of wood during restoration;</w:t>
      </w:r>
    </w:p>
    <w:p w:rsidR="00E46A67" w:rsidRPr="00F3188D" w:rsidRDefault="00E46A67" w:rsidP="00E46A67">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Increase in the amount of wood marked for removal in trees &lt;150 years even if this requires modification of target restored stand basal areas or trees/acre;</w:t>
      </w:r>
    </w:p>
    <w:p w:rsidR="00E46A67" w:rsidRPr="00F3188D" w:rsidRDefault="00E46A67" w:rsidP="00E46A67">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Elimination of restoration activities included as costs in the calculation of sale economics that are not essential to accomplishing the stand-level restoration goal; and,</w:t>
      </w:r>
    </w:p>
    <w:p w:rsidR="00E46A67" w:rsidRPr="00F3188D" w:rsidRDefault="00E46A67" w:rsidP="00E46A67">
      <w:pPr>
        <w:pStyle w:val="CommentText"/>
        <w:tabs>
          <w:tab w:val="left" w:pos="7830"/>
        </w:tabs>
        <w:ind w:left="144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Consider the potential for collaborators and partners to find funds.</w:t>
      </w:r>
    </w:p>
    <w:p w:rsidR="00E46A67" w:rsidRPr="00F3188D" w:rsidRDefault="00E46A67" w:rsidP="00E46A67">
      <w:pPr>
        <w:pStyle w:val="CommentText"/>
        <w:tabs>
          <w:tab w:val="left" w:pos="7830"/>
        </w:tabs>
        <w:ind w:left="72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4. If the restoration project remains non-viable after making the above adjustments, consider the alternative of whether or not to remove some small older ponderosa pine trees, including an assessment of how many such trees would have to be removed in order to achieve economic viability.</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5. Calculation of economic viability should be based on the appraisal or other formal analysis that includes actual cruise or inventory data.</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 xml:space="preserve">6. If a decision is made to proceed with cutting sufficient small older ponderosa pine trees to achieve viability, select only a sufficient number of such trees to achieve the economic break-even point. </w:t>
      </w:r>
    </w:p>
    <w:p w:rsidR="00E46A67"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t>7. The older trees selected for removal should come from the mature (150 to 200 year) age class; removal of fully developed (&gt;200 year</w:t>
      </w:r>
      <w:r>
        <w:rPr>
          <w:rFonts w:ascii="Times New Roman" w:hAnsi="Times New Roman" w:cs="Times New Roman"/>
          <w:sz w:val="24"/>
          <w:szCs w:val="24"/>
          <w:lang w:eastAsia="en-US"/>
        </w:rPr>
        <w:t xml:space="preserve"> </w:t>
      </w:r>
      <w:r w:rsidRPr="00F3188D">
        <w:rPr>
          <w:rFonts w:ascii="Times New Roman" w:hAnsi="Times New Roman" w:cs="Times New Roman"/>
          <w:sz w:val="24"/>
          <w:szCs w:val="24"/>
          <w:lang w:eastAsia="en-US"/>
        </w:rPr>
        <w:t>old) ponderosa pine should be avoided.</w:t>
      </w: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p>
    <w:p w:rsidR="00E46A67" w:rsidRPr="00F3188D" w:rsidRDefault="00E46A67" w:rsidP="00E46A67">
      <w:pPr>
        <w:pStyle w:val="CommentText"/>
        <w:tabs>
          <w:tab w:val="left" w:pos="7830"/>
        </w:tabs>
        <w:ind w:left="1080"/>
        <w:rPr>
          <w:rFonts w:ascii="Times New Roman" w:hAnsi="Times New Roman" w:cs="Times New Roman"/>
          <w:sz w:val="24"/>
          <w:szCs w:val="24"/>
          <w:lang w:eastAsia="en-US"/>
        </w:rPr>
      </w:pPr>
      <w:r w:rsidRPr="00F3188D">
        <w:rPr>
          <w:rFonts w:ascii="Times New Roman" w:hAnsi="Times New Roman" w:cs="Times New Roman"/>
          <w:sz w:val="24"/>
          <w:szCs w:val="24"/>
          <w:lang w:eastAsia="en-US"/>
        </w:rPr>
        <w:lastRenderedPageBreak/>
        <w:t>8. The decision process should be transparent, well documented to ensure that stakeholders and collaborative groups understand the basis for removing old trees.</w:t>
      </w:r>
    </w:p>
    <w:p w:rsidR="00E46A67" w:rsidRPr="003E56C7" w:rsidRDefault="00E46A67" w:rsidP="00E46A67">
      <w:pPr>
        <w:pStyle w:val="NormalWeb"/>
        <w:spacing w:before="0" w:after="0"/>
        <w:rPr>
          <w:rStyle w:val="Hyperlink"/>
          <w:rFonts w:ascii="Times New Roman" w:hAnsi="Times New Roman" w:cs="Times New Roman"/>
        </w:rPr>
      </w:pPr>
      <w:r w:rsidRPr="003E56C7">
        <w:rPr>
          <w:rFonts w:ascii="Times New Roman" w:hAnsi="Times New Roman" w:cs="Times New Roman"/>
        </w:rPr>
        <w:t xml:space="preserve">Franklin, J.F., Johnson, K.N., et al 2013. Restoration of Dry Forests in Eastern Oregon – A Field Guide. The Nature Conservancy, Portland, OR. 202 pp. </w:t>
      </w:r>
      <w:hyperlink r:id="rId15" w:history="1">
        <w:r w:rsidRPr="003E56C7">
          <w:rPr>
            <w:rStyle w:val="Hyperlink"/>
            <w:rFonts w:ascii="Times New Roman" w:hAnsi="Times New Roman" w:cs="Times New Roman"/>
          </w:rPr>
          <w:t>http://nature.ly/dryforests</w:t>
        </w:r>
      </w:hyperlink>
    </w:p>
    <w:p w:rsidR="00E46A67" w:rsidRDefault="00E46A67" w:rsidP="00E46A67">
      <w:pPr>
        <w:pStyle w:val="NormalWeb"/>
        <w:spacing w:before="0" w:after="0"/>
        <w:ind w:left="360"/>
      </w:pPr>
    </w:p>
    <w:p w:rsidR="00E46A67" w:rsidRDefault="00E46A67" w:rsidP="00E46A67">
      <w:pPr>
        <w:pStyle w:val="NormalWeb"/>
        <w:spacing w:before="0" w:after="0"/>
      </w:pPr>
      <w:r>
        <w:t xml:space="preserve">See also, </w:t>
      </w:r>
      <w:r w:rsidRPr="0044354C">
        <w:t xml:space="preserve">University of Montana. June 18, 2019. Cell structure linked to longevity of slow-growing Ponderosa Pines. </w:t>
      </w:r>
      <w:hyperlink r:id="rId16" w:history="1">
        <w:r w:rsidRPr="0044354C">
          <w:rPr>
            <w:rStyle w:val="Hyperlink"/>
          </w:rPr>
          <w:t>https://www.sciencedaily.com/releases/2019/06/190618174358.htm</w:t>
        </w:r>
      </w:hyperlink>
      <w:r>
        <w:t xml:space="preserve"> </w:t>
      </w:r>
      <w:r w:rsidRPr="0044354C">
        <w:t>(“Slow-growing ponderosa pines may have a better chance of surviving longer than fast-growing ones, especially as climate change increases the frequency and intensity of drought, according to new research from the University of Montana. ... [A] key difference between fast and slow growers resides in a microscopic valve-like structure between the cells that transport water in the wood, called the pit membrane. The unique shape of this valve in slow-growing trees provides greater safety against drought, but it slows down water transport, limiting growth rate.”).</w:t>
      </w:r>
      <w:r>
        <w:t xml:space="preserve"> </w:t>
      </w:r>
      <w:r w:rsidRPr="00143A1D">
        <w:rPr>
          <w:i/>
        </w:rPr>
        <w:t>citing</w:t>
      </w:r>
      <w:r>
        <w:t xml:space="preserve"> </w:t>
      </w:r>
      <w:r w:rsidRPr="00143A1D">
        <w:t>Beth Roskilly, Eric Keeling, Sharon Hood, Arnaud Giuggiola, Anna Sala. Conflicting functional effects of xylem pit structure relate to the growth-longevity trade-off in a conifer species. Proceedings of the National Academy of Sciences, 2019; 201900734 DOI: 10.1073/pnas.1900734116</w:t>
      </w:r>
      <w:r>
        <w:t>.</w:t>
      </w:r>
    </w:p>
    <w:p w:rsidR="00E46A67" w:rsidRDefault="00E46A67" w:rsidP="00E46A67">
      <w:pPr>
        <w:pStyle w:val="NormalWeb"/>
        <w:spacing w:before="0" w:after="0"/>
        <w:ind w:left="360"/>
      </w:pPr>
    </w:p>
    <w:p w:rsidR="00E46A67" w:rsidRDefault="00E46A67" w:rsidP="00E46A67">
      <w:pPr>
        <w:pStyle w:val="CommentText"/>
        <w:tabs>
          <w:tab w:val="left" w:pos="7830"/>
        </w:tabs>
        <w:rPr>
          <w:sz w:val="24"/>
          <w:szCs w:val="24"/>
        </w:rPr>
      </w:pPr>
      <w:r>
        <w:rPr>
          <w:sz w:val="24"/>
          <w:szCs w:val="24"/>
        </w:rPr>
        <w:t>De la Mata et al (2017) studied the variable survival of Ponderosa pine during a mountain pine beetle (MPB) outbreak and found that slow growing trees had an advantage -</w:t>
      </w:r>
    </w:p>
    <w:p w:rsidR="00E46A67" w:rsidRDefault="00E46A67" w:rsidP="00E46A67">
      <w:pPr>
        <w:pStyle w:val="CommentText"/>
        <w:tabs>
          <w:tab w:val="left" w:pos="7830"/>
        </w:tabs>
        <w:ind w:left="720"/>
        <w:rPr>
          <w:rFonts w:ascii="Times New Roman" w:hAnsi="Times New Roman" w:cs="Times New Roman"/>
          <w:sz w:val="24"/>
          <w:szCs w:val="24"/>
        </w:rPr>
      </w:pPr>
      <w:r w:rsidRPr="00AF019B">
        <w:rPr>
          <w:rFonts w:ascii="Times New Roman" w:hAnsi="Times New Roman" w:cs="Times New Roman"/>
          <w:sz w:val="24"/>
          <w:szCs w:val="24"/>
        </w:rPr>
        <w:t>Growth rates have fitness consequences and selection is expected (23). Indeed, we found significant genetic responses to selection on growth rates, but importantly, these responses changed in direction and strength over time (Fig. 2A). Fast growth was positively selected before the outbreak, but negatively selected during the outbreak, clearly showing that intense herbivory shifted selection patterns. Fast growth in trees under competitive environments is critical for light acquisition and resource capture, and slow growth is selected against and underrepresented at mature stages (27). Consistently, selection for fast growth was strongest during early seedling establishment when density-dependent mortality in trees typically occurs (38) and when the proportion of seeds that attain maturity is usually very small (6). The MPB outbreak, however, caused significant selection differentials in the opposite direction (positive selection for slow-growing phenotypes), which triggered a negative genetic response after the outbreak (Fig. 2A). Our results are consistent with studies showing that fast early growth within tree species correlates with decreased longevity (29) and increased herbivory at maturity (30), and provide strong empirical evidence of the conflicting effects of growth rates on fitness during ontogeny.</w:t>
      </w:r>
    </w:p>
    <w:p w:rsidR="00E46A67" w:rsidRDefault="00E46A67" w:rsidP="00E46A67">
      <w:pPr>
        <w:pStyle w:val="CommentText"/>
        <w:tabs>
          <w:tab w:val="left" w:pos="7830"/>
        </w:tabs>
        <w:ind w:left="1080"/>
        <w:rPr>
          <w:rFonts w:ascii="Times New Roman" w:hAnsi="Times New Roman" w:cs="Times New Roman"/>
          <w:sz w:val="24"/>
          <w:szCs w:val="24"/>
        </w:rPr>
      </w:pPr>
      <w:r>
        <w:rPr>
          <w:rFonts w:ascii="Times New Roman" w:hAnsi="Times New Roman" w:cs="Times New Roman"/>
          <w:sz w:val="24"/>
          <w:szCs w:val="24"/>
        </w:rPr>
        <w:t>…</w:t>
      </w:r>
    </w:p>
    <w:p w:rsidR="00E46A67" w:rsidRPr="00AF019B" w:rsidRDefault="00E46A67" w:rsidP="00E46A67">
      <w:pPr>
        <w:pStyle w:val="CommentText"/>
        <w:tabs>
          <w:tab w:val="left" w:pos="7830"/>
        </w:tabs>
        <w:ind w:left="720"/>
        <w:rPr>
          <w:rFonts w:ascii="Times New Roman" w:hAnsi="Times New Roman" w:cs="Times New Roman"/>
          <w:sz w:val="24"/>
          <w:szCs w:val="24"/>
        </w:rPr>
      </w:pPr>
      <w:r w:rsidRPr="00FE18AC">
        <w:rPr>
          <w:rFonts w:ascii="Times New Roman" w:hAnsi="Times New Roman" w:cs="Times New Roman"/>
          <w:sz w:val="24"/>
          <w:szCs w:val="24"/>
        </w:rPr>
        <w:t>Our results also have important management implications.</w:t>
      </w:r>
      <w:r>
        <w:rPr>
          <w:rFonts w:ascii="Times New Roman" w:hAnsi="Times New Roman" w:cs="Times New Roman"/>
          <w:sz w:val="24"/>
          <w:szCs w:val="24"/>
        </w:rPr>
        <w:t xml:space="preserve"> </w:t>
      </w:r>
      <w:r w:rsidRPr="00FE18AC">
        <w:rPr>
          <w:rFonts w:ascii="Times New Roman" w:hAnsi="Times New Roman" w:cs="Times New Roman"/>
          <w:sz w:val="24"/>
          <w:szCs w:val="24"/>
        </w:rPr>
        <w:t>Tree improvement programs supply seed resources for managed</w:t>
      </w:r>
      <w:r>
        <w:rPr>
          <w:rFonts w:ascii="Times New Roman" w:hAnsi="Times New Roman" w:cs="Times New Roman"/>
          <w:sz w:val="24"/>
          <w:szCs w:val="24"/>
        </w:rPr>
        <w:t xml:space="preserve"> </w:t>
      </w:r>
      <w:r w:rsidRPr="00FE18AC">
        <w:rPr>
          <w:rFonts w:ascii="Times New Roman" w:hAnsi="Times New Roman" w:cs="Times New Roman"/>
          <w:sz w:val="24"/>
          <w:szCs w:val="24"/>
        </w:rPr>
        <w:t>tree plantations, and for restoration purposes after natural and</w:t>
      </w:r>
      <w:r>
        <w:rPr>
          <w:rFonts w:ascii="Times New Roman" w:hAnsi="Times New Roman" w:cs="Times New Roman"/>
          <w:sz w:val="24"/>
          <w:szCs w:val="24"/>
        </w:rPr>
        <w:t xml:space="preserve"> </w:t>
      </w:r>
      <w:r w:rsidRPr="00FE18AC">
        <w:rPr>
          <w:rFonts w:ascii="Times New Roman" w:hAnsi="Times New Roman" w:cs="Times New Roman"/>
          <w:sz w:val="24"/>
          <w:szCs w:val="24"/>
        </w:rPr>
        <w:t>human-caused disturbances (e.g.</w:t>
      </w:r>
      <w:r>
        <w:rPr>
          <w:rFonts w:ascii="Times New Roman" w:hAnsi="Times New Roman" w:cs="Times New Roman"/>
          <w:sz w:val="24"/>
          <w:szCs w:val="24"/>
        </w:rPr>
        <w:t>, fire, severe drought, and rec</w:t>
      </w:r>
      <w:r w:rsidRPr="00FE18AC">
        <w:rPr>
          <w:rFonts w:ascii="Times New Roman" w:hAnsi="Times New Roman" w:cs="Times New Roman"/>
          <w:sz w:val="24"/>
          <w:szCs w:val="24"/>
        </w:rPr>
        <w:t>lamation). These programs have</w:t>
      </w:r>
      <w:r>
        <w:rPr>
          <w:rFonts w:ascii="Times New Roman" w:hAnsi="Times New Roman" w:cs="Times New Roman"/>
          <w:sz w:val="24"/>
          <w:szCs w:val="24"/>
        </w:rPr>
        <w:t xml:space="preserve"> traditionally focused on selec</w:t>
      </w:r>
      <w:r w:rsidRPr="00FE18AC">
        <w:rPr>
          <w:rFonts w:ascii="Times New Roman" w:hAnsi="Times New Roman" w:cs="Times New Roman"/>
          <w:sz w:val="24"/>
          <w:szCs w:val="24"/>
        </w:rPr>
        <w:t>tion on growth-related traits (52), although efforts to breed for</w:t>
      </w:r>
      <w:r>
        <w:rPr>
          <w:rFonts w:ascii="Times New Roman" w:hAnsi="Times New Roman" w:cs="Times New Roman"/>
          <w:sz w:val="24"/>
          <w:szCs w:val="24"/>
        </w:rPr>
        <w:t xml:space="preserve"> </w:t>
      </w:r>
      <w:r w:rsidRPr="00FE18AC">
        <w:rPr>
          <w:rFonts w:ascii="Times New Roman" w:hAnsi="Times New Roman" w:cs="Times New Roman"/>
          <w:sz w:val="24"/>
          <w:szCs w:val="24"/>
        </w:rPr>
        <w:t>tree resistance against insects and pathogens are currently in</w:t>
      </w:r>
      <w:r>
        <w:rPr>
          <w:rFonts w:ascii="Times New Roman" w:hAnsi="Times New Roman" w:cs="Times New Roman"/>
          <w:sz w:val="24"/>
          <w:szCs w:val="24"/>
        </w:rPr>
        <w:t xml:space="preserve"> </w:t>
      </w:r>
      <w:r w:rsidRPr="00FE18AC">
        <w:rPr>
          <w:rFonts w:ascii="Times New Roman" w:hAnsi="Times New Roman" w:cs="Times New Roman"/>
          <w:sz w:val="24"/>
          <w:szCs w:val="24"/>
        </w:rPr>
        <w:t xml:space="preserve">place (53). Our results indicate that the </w:t>
      </w:r>
      <w:r w:rsidRPr="00FE18AC">
        <w:rPr>
          <w:rFonts w:ascii="Times New Roman" w:hAnsi="Times New Roman" w:cs="Times New Roman"/>
          <w:sz w:val="24"/>
          <w:szCs w:val="24"/>
        </w:rPr>
        <w:lastRenderedPageBreak/>
        <w:t>traditional focus on fast-growth by tree breeding programs may reduce survival under</w:t>
      </w:r>
      <w:r>
        <w:rPr>
          <w:rFonts w:ascii="Times New Roman" w:hAnsi="Times New Roman" w:cs="Times New Roman"/>
          <w:sz w:val="24"/>
          <w:szCs w:val="24"/>
        </w:rPr>
        <w:t xml:space="preserve"> </w:t>
      </w:r>
      <w:r w:rsidRPr="00FE18AC">
        <w:rPr>
          <w:rFonts w:ascii="Times New Roman" w:hAnsi="Times New Roman" w:cs="Times New Roman"/>
          <w:sz w:val="24"/>
          <w:szCs w:val="24"/>
        </w:rPr>
        <w:t>intense, unpredictable stress (54).</w:t>
      </w:r>
    </w:p>
    <w:p w:rsidR="00E46A67" w:rsidRDefault="00E46A67" w:rsidP="00E46A67">
      <w:pPr>
        <w:pStyle w:val="NormalWeb"/>
        <w:spacing w:before="0" w:after="0"/>
      </w:pPr>
      <w:r>
        <w:t>Raul de la Mata, Sharon Hood, and Anna Sala</w:t>
      </w:r>
      <w:r w:rsidRPr="00AF019B">
        <w:t xml:space="preserve"> </w:t>
      </w:r>
      <w:r>
        <w:t xml:space="preserve">2017. </w:t>
      </w:r>
      <w:r w:rsidRPr="00AF019B">
        <w:t>Insect outbreak shifts the direction of selection from</w:t>
      </w:r>
      <w:r>
        <w:t xml:space="preserve"> </w:t>
      </w:r>
      <w:r w:rsidRPr="00AF019B">
        <w:t>fast to slow growth rates in the long-lived conifer</w:t>
      </w:r>
      <w:r>
        <w:t xml:space="preserve"> </w:t>
      </w:r>
      <w:r w:rsidRPr="00AF019B">
        <w:t>Pinus ponderosa</w:t>
      </w:r>
      <w:r>
        <w:t xml:space="preserve">. PNAS. </w:t>
      </w:r>
      <w:hyperlink r:id="rId17" w:history="1">
        <w:r w:rsidRPr="00EE0842">
          <w:rPr>
            <w:rStyle w:val="Hyperlink"/>
          </w:rPr>
          <w:t>www.pnas.org/cgi/doi/10.1073/pnas.1700032114</w:t>
        </w:r>
      </w:hyperlink>
      <w:r>
        <w:t>.</w:t>
      </w:r>
    </w:p>
    <w:p w:rsidR="00E46A67" w:rsidRDefault="00E46A67" w:rsidP="00E46A67">
      <w:pPr>
        <w:pStyle w:val="NormalWeb"/>
        <w:spacing w:before="0" w:after="0"/>
      </w:pPr>
    </w:p>
    <w:p w:rsidR="00E46A67" w:rsidRDefault="00E46A67" w:rsidP="00E46A67">
      <w:pPr>
        <w:pStyle w:val="NormalWeb"/>
        <w:spacing w:before="0" w:after="0"/>
      </w:pPr>
      <w:r>
        <w:t xml:space="preserve">Old growth forests are naturally clumpy, patchy, and gappy. Foresters typically remove that natural clumpiness in pursuit of efficient growth of crop trees. See </w:t>
      </w:r>
      <w:r w:rsidRPr="00C73070">
        <w:t xml:space="preserve">Methods of implementing spatial variability in restoration treatments are described by Churchill, D.J., M.C. Dalhgreen, A.J. Larson, and J.F. Franklin. 2013. The ICO approach to restoring spatial pattern in dry forests: Implementation guide. Version 1.0. Stewardship Forestry, Vashon, Washington, USA. </w:t>
      </w:r>
      <w:hyperlink r:id="rId18" w:history="1">
        <w:r w:rsidRPr="00591A5C">
          <w:rPr>
            <w:rStyle w:val="Hyperlink"/>
          </w:rPr>
          <w:t>https://web.archive.org/web/20130330181038/http://www.cfc.umt.edu/ForestEcology/files/ICO_Manager_Guide.pdf</w:t>
        </w:r>
      </w:hyperlink>
      <w:r>
        <w:t xml:space="preserve"> </w:t>
      </w:r>
      <w:r w:rsidRPr="00C73070">
        <w:t xml:space="preserve"> and Derek J. Churchill, Andrew J. Larson, Matthew C. Dahlgreen, Jerry F. Franklin, Paul F. Hessburg, and James A. Lutz. 2013. Restoring forest resilience: From reference spatial patterns to silvicultural prescriptions and monitoring. Forest Ecology and Management 291 (2013) 442–457. </w:t>
      </w:r>
      <w:hyperlink r:id="rId19" w:history="1">
        <w:r w:rsidRPr="00591A5C">
          <w:rPr>
            <w:rStyle w:val="Hyperlink"/>
          </w:rPr>
          <w:t>http://www.fs.usda.gov/Internet/FSE_DOCUMENTS/stelprdb5428873.pdf</w:t>
        </w:r>
      </w:hyperlink>
      <w:r>
        <w:t xml:space="preserve"> </w:t>
      </w:r>
    </w:p>
    <w:p w:rsidR="00E46A67" w:rsidRDefault="00E46A67" w:rsidP="00E46A67">
      <w:pPr>
        <w:pStyle w:val="NormalWeb"/>
        <w:spacing w:before="0" w:after="0"/>
      </w:pPr>
    </w:p>
    <w:p w:rsidR="00E46A67" w:rsidRDefault="00E46A67" w:rsidP="00E46A67">
      <w:pPr>
        <w:pStyle w:val="NormalWeb"/>
        <w:spacing w:before="0" w:after="0"/>
      </w:pPr>
      <w:r>
        <w:t>This project includes prescriptions (below) that will eliminate clumpiness in violation of the HFRA mandate to restore old growth forest characteristics.</w:t>
      </w:r>
    </w:p>
    <w:p w:rsidR="00E46A67" w:rsidRDefault="00E46A67" w:rsidP="00E46A67">
      <w:pPr>
        <w:pStyle w:val="NormalWeb"/>
        <w:spacing w:before="0" w:after="0"/>
      </w:pPr>
    </w:p>
    <w:p w:rsidR="00E46A67" w:rsidRDefault="00E46A67" w:rsidP="00E46A67">
      <w:pPr>
        <w:pStyle w:val="NormalWeb"/>
        <w:spacing w:before="0" w:after="0"/>
        <w:ind w:left="720"/>
      </w:pPr>
      <w:r>
        <w:t xml:space="preserve">• Trees less than 21 inches DBH exhibiting recent beetle activity would first be targeted for removal. Trees less than 21 inches DBH within double the dripline of the largest, healthiest ponderosa pine would be removed. </w:t>
      </w:r>
    </w:p>
    <w:p w:rsidR="00E46A67" w:rsidRDefault="00E46A67" w:rsidP="00E46A67">
      <w:pPr>
        <w:pStyle w:val="NormalWeb"/>
        <w:spacing w:before="0" w:after="0"/>
        <w:ind w:left="720"/>
      </w:pPr>
      <w:r>
        <w:t>• One replacement ponderosa pine tree would be maintained within double the dripline of large ponderosa pine (&gt; 21" DBH) exhibiting substantial crown dieback (less than 1/3rd live crown ratio).</w:t>
      </w:r>
    </w:p>
    <w:p w:rsidR="00E46A67" w:rsidRDefault="00E46A67" w:rsidP="00E46A67"/>
    <w:p w:rsidR="00E46A67" w:rsidRDefault="00E46A67" w:rsidP="001C579A">
      <w:pPr>
        <w:keepNext/>
        <w:spacing w:before="100" w:after="100"/>
      </w:pPr>
      <w:r>
        <w:rPr>
          <w:noProof/>
        </w:rPr>
        <w:lastRenderedPageBreak/>
        <w:drawing>
          <wp:inline distT="0" distB="0" distL="0" distR="0" wp14:anchorId="5A12B3FA" wp14:editId="1A8F60CE">
            <wp:extent cx="2197100" cy="2990850"/>
            <wp:effectExtent l="0" t="0" r="0" b="0"/>
            <wp:docPr id="3" name="Picture 3" descr="ppine cl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ine clu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7100" cy="2990850"/>
                    </a:xfrm>
                    <a:prstGeom prst="rect">
                      <a:avLst/>
                    </a:prstGeom>
                    <a:noFill/>
                    <a:ln>
                      <a:noFill/>
                    </a:ln>
                  </pic:spPr>
                </pic:pic>
              </a:graphicData>
            </a:graphic>
          </wp:inline>
        </w:drawing>
      </w:r>
    </w:p>
    <w:p w:rsidR="00E46A67" w:rsidRDefault="00E46A67" w:rsidP="001C579A">
      <w:pPr>
        <w:pStyle w:val="Caption"/>
      </w:pPr>
      <w:r>
        <w:t xml:space="preserve">Figure </w:t>
      </w:r>
      <w:fldSimple w:instr=" SEQ Figure \* ARABIC ">
        <w:r>
          <w:rPr>
            <w:noProof/>
          </w:rPr>
          <w:t>1</w:t>
        </w:r>
      </w:fldSimple>
      <w:r>
        <w:t xml:space="preserve">. </w:t>
      </w:r>
      <w:r w:rsidRPr="00CD625D">
        <w:t>An example of naturally clumped large pines.</w:t>
      </w:r>
    </w:p>
    <w:p w:rsidR="00E46A67" w:rsidRDefault="00E46A67" w:rsidP="00E46A67">
      <w:r>
        <w:t xml:space="preserve">A historical reconstruction of forests in the Blue Mountains of Oregon, showed that more than 2/3 of plots had large clumps of between 10-30 trees and 50-90% of individual trees were within 6 meters of other trees (i.e., few were isolated individuals). Churchill, Derek J.; Carnwath, Gunnar C.; Larson, Andrew J.; Jeronimo, Sean A. 2017. Historical forest structure, composition, and spatial pattern in dry conifer forests of the western Blue Mountains, Oregon. Gen. Tech. Rep. PNWGTR-956. Portland, OR: U.S. Department of Agriculture, Forest Service, Pacific Northwest Research Station. 93 p. </w:t>
      </w:r>
      <w:hyperlink r:id="rId21" w:history="1">
        <w:r w:rsidRPr="00254D5C">
          <w:rPr>
            <w:rStyle w:val="Hyperlink"/>
          </w:rPr>
          <w:t>https://www.fs.fed.us/pnw/pubs/pnw_gtr956.pdf</w:t>
        </w:r>
      </w:hyperlink>
      <w:r>
        <w:t xml:space="preserve">. </w:t>
      </w:r>
    </w:p>
    <w:p w:rsidR="00E46A67" w:rsidRDefault="00E46A67" w:rsidP="00E46A67"/>
    <w:p w:rsidR="00892441" w:rsidRDefault="00892441" w:rsidP="00892441">
      <w:pPr>
        <w:rPr>
          <w:b/>
        </w:rPr>
      </w:pPr>
      <w:r w:rsidRPr="00E46A67">
        <w:rPr>
          <w:b/>
        </w:rPr>
        <w:t>Logging lodgepole up to 21” dbh violates HFRA and Eastside Screens requirement to retain large trees</w:t>
      </w:r>
      <w:r>
        <w:rPr>
          <w:b/>
        </w:rPr>
        <w:t>.</w:t>
      </w:r>
    </w:p>
    <w:p w:rsidR="00892441" w:rsidRPr="00E46A67" w:rsidRDefault="00892441" w:rsidP="00892441">
      <w:pPr>
        <w:rPr>
          <w:b/>
        </w:rPr>
      </w:pPr>
    </w:p>
    <w:p w:rsidR="00892441" w:rsidRDefault="00892441" w:rsidP="00E46A67">
      <w:r>
        <w:t>Lodgepole trees do not get very big, so removing all lodgepole up to 21” dbh violates HFRA the requirement to retain large trees AND the Eastside Screens requirement to retain large trees “for the species.”</w:t>
      </w:r>
    </w:p>
    <w:p w:rsidR="007A5AC1" w:rsidRDefault="007A5AC1" w:rsidP="00E46A67"/>
    <w:p w:rsidR="007A5AC1" w:rsidRDefault="007A5AC1" w:rsidP="00E46A67">
      <w:r>
        <w:t xml:space="preserve">For instance the Eastside Screens says that large </w:t>
      </w:r>
      <w:r w:rsidRPr="007A5AC1">
        <w:rPr>
          <w:u w:val="single"/>
        </w:rPr>
        <w:t>and medium</w:t>
      </w:r>
      <w:r>
        <w:t xml:space="preserve"> sized lodgepole pine trees should be retained to enhance connectivity.</w:t>
      </w:r>
    </w:p>
    <w:p w:rsidR="007A5AC1" w:rsidRDefault="007A5AC1" w:rsidP="00E46A67"/>
    <w:p w:rsidR="006B6CCD" w:rsidRDefault="007A5AC1" w:rsidP="006B6CCD">
      <w:r w:rsidRPr="003934B6">
        <w:t>Climate change is driving natural selection, but we will interfere in that process by choosing the winners and losers instead of letting natural mortality do it.</w:t>
      </w:r>
      <w:r w:rsidR="006B6CCD">
        <w:t xml:space="preserve"> Importantly, for natural selection to occur, mortality must be caused by natural events like drought, insects, and fire, rather than through human choices about which trees will live and which will die. There is already evidence that this is happening. Trugman et al (2020) found “</w:t>
      </w:r>
      <w:r w:rsidR="006B6CCD" w:rsidRPr="00BF101F">
        <w:t>evidence for coordinated shifts toward communities with more drought-tolerant traits driven by tree mortality</w:t>
      </w:r>
      <w:r w:rsidR="006B6CCD">
        <w:t xml:space="preserve">…” Anna T. Trugman, Leander D. L. Anderegg, John D. Shaw, William R. L. Anderegg 2020. Trait velocities reveal that mortality has driven widespread coordinated shifts in forest hydraulic trait composition. Proceedings of the </w:t>
      </w:r>
      <w:r w:rsidR="006B6CCD">
        <w:lastRenderedPageBreak/>
        <w:t xml:space="preserve">National Academy of Sciences. Mar 2020, 201917521; DOI: 10.1073/pnas.1917521117. </w:t>
      </w:r>
      <w:hyperlink r:id="rId22" w:history="1">
        <w:r w:rsidR="006B6CCD">
          <w:rPr>
            <w:rStyle w:val="Hyperlink"/>
          </w:rPr>
          <w:t>https://www.pnas.org/content/early/2020/03/24/1917521117</w:t>
        </w:r>
      </w:hyperlink>
      <w:r w:rsidR="006B6CCD">
        <w:t>.</w:t>
      </w:r>
    </w:p>
    <w:p w:rsidR="007A5AC1" w:rsidRDefault="007A5AC1" w:rsidP="007A5AC1">
      <w:pPr>
        <w:autoSpaceDE w:val="0"/>
        <w:autoSpaceDN w:val="0"/>
        <w:adjustRightInd w:val="0"/>
      </w:pPr>
    </w:p>
    <w:p w:rsidR="006B6CCD" w:rsidRDefault="006B6CCD" w:rsidP="006B6CCD">
      <w:pPr>
        <w:shd w:val="clear" w:color="auto" w:fill="FFFFFF"/>
        <w:rPr>
          <w:color w:val="000000"/>
        </w:rPr>
      </w:pPr>
      <w:r>
        <w:rPr>
          <w:color w:val="000000"/>
        </w:rPr>
        <w:t>The bottom line is that nature does a good job of picking trees that are fit for survival in a stressful world. Foresters cannot predict which trees will survive drought and insects, so they will kill some trees that are relatively more fit and retain trees that are relatively less fit. This indicates that natural mortality will lead to greater forest resilience, while logging will lead to reduced forest resilience.</w:t>
      </w:r>
    </w:p>
    <w:p w:rsidR="006B6CCD" w:rsidRPr="006A2FFC" w:rsidRDefault="006B6CCD" w:rsidP="006B6CCD">
      <w:pPr>
        <w:rPr>
          <w:b/>
          <w:color w:val="222222"/>
        </w:rPr>
      </w:pPr>
    </w:p>
    <w:p w:rsidR="006B6CCD" w:rsidRDefault="006B6CCD" w:rsidP="006B6CCD">
      <w:pPr>
        <w:ind w:left="720"/>
        <w:rPr>
          <w:color w:val="222222"/>
        </w:rPr>
      </w:pPr>
      <w:r w:rsidRPr="006A2FFC">
        <w:rPr>
          <w:b/>
          <w:color w:val="222222"/>
        </w:rPr>
        <w:t>e360</w:t>
      </w:r>
      <w:r w:rsidRPr="006A2FFC">
        <w:rPr>
          <w:color w:val="222222"/>
        </w:rPr>
        <w:t>: So by trying to fix the problem, we sometimes only make it worse.</w:t>
      </w:r>
    </w:p>
    <w:p w:rsidR="006B6CCD" w:rsidRDefault="006B6CCD" w:rsidP="006B6CCD">
      <w:pPr>
        <w:ind w:left="720"/>
        <w:rPr>
          <w:color w:val="222222"/>
        </w:rPr>
      </w:pPr>
      <w:r w:rsidRPr="006A2FFC">
        <w:rPr>
          <w:b/>
          <w:color w:val="222222"/>
        </w:rPr>
        <w:t>Six</w:t>
      </w:r>
      <w:r w:rsidRPr="006A2FFC">
        <w:rPr>
          <w:color w:val="222222"/>
        </w:rPr>
        <w:t>: As humans, we have this feeling that if something goes awry, we need to fix it, and that somehow we can. I don’t think that we necessarily always</w:t>
      </w:r>
      <w:r>
        <w:rPr>
          <w:color w:val="222222"/>
        </w:rPr>
        <w:t xml:space="preserve"> </w:t>
      </w:r>
      <w:r w:rsidRPr="006A2FFC">
        <w:rPr>
          <w:color w:val="222222"/>
        </w:rPr>
        <w:t>know what needs to be done, or that when we do apply management that we are always actually doing the right thing. Sometimes we just need to realize that nature can sort itself out perhaps better than we can.</w:t>
      </w:r>
    </w:p>
    <w:p w:rsidR="006B6CCD" w:rsidRDefault="006B6CCD" w:rsidP="006B6CCD">
      <w:pPr>
        <w:ind w:left="720"/>
        <w:rPr>
          <w:color w:val="222222"/>
        </w:rPr>
      </w:pPr>
      <w:r>
        <w:rPr>
          <w:color w:val="222222"/>
        </w:rPr>
        <w:t>…</w:t>
      </w:r>
    </w:p>
    <w:p w:rsidR="006B6CCD" w:rsidRPr="004E4630" w:rsidRDefault="006B6CCD" w:rsidP="006B6CCD">
      <w:pPr>
        <w:ind w:left="720"/>
        <w:rPr>
          <w:color w:val="222222"/>
        </w:rPr>
      </w:pPr>
      <w:r>
        <w:rPr>
          <w:color w:val="222222"/>
        </w:rPr>
        <w:t>[M]</w:t>
      </w:r>
      <w:r w:rsidRPr="004E4630">
        <w:rPr>
          <w:color w:val="222222"/>
        </w:rPr>
        <w:t>odels assume that the forest is genetically homogenous, that everything is the same. And they are not. I suspect that there is a lot more genetic variability out there that will allow for more adaptation and greater persistence than we currently anticipate.</w:t>
      </w:r>
    </w:p>
    <w:p w:rsidR="006B6CCD" w:rsidRPr="004E4630" w:rsidRDefault="006B6CCD" w:rsidP="006B6CCD">
      <w:pPr>
        <w:ind w:left="720"/>
        <w:rPr>
          <w:color w:val="222222"/>
        </w:rPr>
      </w:pPr>
    </w:p>
    <w:p w:rsidR="006B6CCD" w:rsidRPr="004E4630" w:rsidRDefault="006B6CCD" w:rsidP="006B6CCD">
      <w:pPr>
        <w:ind w:left="720"/>
        <w:rPr>
          <w:color w:val="222222"/>
        </w:rPr>
      </w:pPr>
      <w:r w:rsidRPr="004E4630">
        <w:rPr>
          <w:b/>
          <w:color w:val="222222"/>
        </w:rPr>
        <w:t>e360</w:t>
      </w:r>
      <w:r w:rsidRPr="004E4630">
        <w:rPr>
          <w:color w:val="222222"/>
        </w:rPr>
        <w:t>: You are suggesting that evolution will kick in and help to a degree?</w:t>
      </w:r>
    </w:p>
    <w:p w:rsidR="006B6CCD" w:rsidRDefault="006B6CCD" w:rsidP="006B6CCD">
      <w:pPr>
        <w:ind w:left="720"/>
        <w:rPr>
          <w:color w:val="222222"/>
        </w:rPr>
      </w:pPr>
      <w:r w:rsidRPr="004E4630">
        <w:rPr>
          <w:b/>
          <w:color w:val="222222"/>
        </w:rPr>
        <w:t>Six</w:t>
      </w:r>
      <w:r w:rsidRPr="004E4630">
        <w:rPr>
          <w:color w:val="222222"/>
        </w:rPr>
        <w:t>: If we let it. If we don’t go out and replant with stock that may not be genetically correct, if we don’t thin or cut down trees that may have been selected by beetles or drought to survive. We have to get smart about how we are treating our forest if we’re going to help nature’s process of adaptation to proceed.</w:t>
      </w:r>
    </w:p>
    <w:p w:rsidR="006B6CCD" w:rsidRDefault="006B6CCD" w:rsidP="006B6CCD">
      <w:r>
        <w:t xml:space="preserve">Richard Shiffman interview with Diana Six. </w:t>
      </w:r>
      <w:r w:rsidRPr="006A2FFC">
        <w:t>04 JAN 2016: INTERVIEW</w:t>
      </w:r>
      <w:r>
        <w:t xml:space="preserve">- </w:t>
      </w:r>
      <w:r w:rsidRPr="006A2FFC">
        <w:t>How Science Can Help to Halt</w:t>
      </w:r>
      <w:r>
        <w:t xml:space="preserve"> </w:t>
      </w:r>
      <w:r w:rsidRPr="006A2FFC">
        <w:t>The Western Bark Beetle Plague</w:t>
      </w:r>
      <w:r>
        <w:t xml:space="preserve"> </w:t>
      </w:r>
      <w:hyperlink r:id="rId23" w:history="1">
        <w:r w:rsidRPr="001013FC">
          <w:rPr>
            <w:rStyle w:val="Hyperlink"/>
          </w:rPr>
          <w:t>http://e360.yale.edu/content/feature.msp?id=2944</w:t>
        </w:r>
      </w:hyperlink>
    </w:p>
    <w:p w:rsidR="006B6CCD" w:rsidRDefault="006B6CCD" w:rsidP="007A5AC1">
      <w:pPr>
        <w:autoSpaceDE w:val="0"/>
        <w:autoSpaceDN w:val="0"/>
        <w:adjustRightInd w:val="0"/>
      </w:pPr>
    </w:p>
    <w:p w:rsidR="007A5AC1" w:rsidRDefault="007A5AC1" w:rsidP="007A5AC1">
      <w:pPr>
        <w:autoSpaceDE w:val="0"/>
        <w:autoSpaceDN w:val="0"/>
        <w:adjustRightInd w:val="0"/>
      </w:pPr>
      <w:r>
        <w:t>Foresters are more likely to choose retention trees based on size than on cryptic features such as the size of resin ducts, but Zhao &amp; Erbilgin (2019) showed that lodgepole pine fitness to survive mountain pine beetle attack is more closely associated with large resin ducts rather than radial growth rates.</w:t>
      </w:r>
    </w:p>
    <w:p w:rsidR="007A5AC1" w:rsidRDefault="007A5AC1" w:rsidP="007A5AC1">
      <w:pPr>
        <w:autoSpaceDE w:val="0"/>
        <w:autoSpaceDN w:val="0"/>
        <w:adjustRightInd w:val="0"/>
        <w:ind w:left="720"/>
      </w:pPr>
      <w:r w:rsidRPr="005A1F1A">
        <w:t>In this study, we compared the resin duct-based anatomical defenses and radial growth between beetle-killed and live residual lodgepole pine trees</w:t>
      </w:r>
      <w:r>
        <w:t>..</w:t>
      </w:r>
      <w:r w:rsidRPr="005A1F1A">
        <w:t>. We found that tree radial growth was not associated with tree survival. The best two predictors of tree survival were resin duct size and production (number per year). Trees having larger but fewer resin ducts showed higher survival probability compared to those with smaller but more abundant resin ducts annually.</w:t>
      </w:r>
      <w:r>
        <w:t xml:space="preserve"> ... </w:t>
      </w:r>
      <w:r w:rsidRPr="005A1F1A">
        <w:t>Healthy trees had consistently larger resin ducts than declining trees in the past 20 years in post-outbreak stands. Survival trees ranked between healthy and declining trees. Overall, these results demonstrate that resin duct size of lodgepole pine trees can be an important component of tree defenses against mountain pine beetle attacks and suggest that lodgepole pine trees with large resin ducts are likely to show resistance to future bark beetle attacks.</w:t>
      </w:r>
      <w:r>
        <w:t xml:space="preserve"> ... </w:t>
      </w:r>
      <w:r w:rsidRPr="00534BF0">
        <w:t xml:space="preserve">By increasing the volume </w:t>
      </w:r>
      <w:r w:rsidRPr="00534BF0">
        <w:lastRenderedPageBreak/>
        <w:t>of resin flow, larger resin ducts likely substantially reduced the probability of successful beetle colonization on residual trees by providing sticky physical barriers, sealing beetle entry wounds, and releasing toxic compounds (Franceschi et al., 2005; Erbilgin et al., 2017; Erbilgin, 2019; Mason et al., 2019). Thus, these results are in agreement with earlier studies emphasizing the importance of anatomic defenses in the survival of conifers against tree-killing bark beetle species in North America (Kane and Kolb, 2010; Ferrenberg et al., 2014; Gaylord et al., 2015; Hood and Sala, 2015; Mason et al., 2019).</w:t>
      </w:r>
      <w:r>
        <w:t xml:space="preserve"> .... </w:t>
      </w:r>
      <w:r w:rsidRPr="00534BF0">
        <w:t>Among the anatomical characteristics measured, the number of resin ducts did not seem to be as important as their size; lodgepole pine trees with relatively smaller but more resin ducts were killed during MPB outbreak, and trees with larger but fewer resin ducts had a higher probability of survival during outbreak, suggesting a possible trade-off between size and number of resin ducts in pine trees (Herms and Mattson, 1992).</w:t>
      </w:r>
      <w:r>
        <w:t xml:space="preserve"> ... We provided four possible explanations to support our results.</w:t>
      </w:r>
    </w:p>
    <w:p w:rsidR="007A5AC1" w:rsidRDefault="007A5AC1" w:rsidP="007A5AC1">
      <w:pPr>
        <w:autoSpaceDE w:val="0"/>
        <w:autoSpaceDN w:val="0"/>
        <w:adjustRightInd w:val="0"/>
        <w:ind w:left="720"/>
      </w:pPr>
    </w:p>
    <w:p w:rsidR="007A5AC1" w:rsidRDefault="007A5AC1" w:rsidP="007A5AC1">
      <w:pPr>
        <w:autoSpaceDE w:val="0"/>
        <w:autoSpaceDN w:val="0"/>
        <w:adjustRightInd w:val="0"/>
        <w:ind w:left="720"/>
      </w:pPr>
      <w:r>
        <w:t xml:space="preserve">First, larger resin ducts likely result in the storage and biosynthesis of a higher volume of resin, thereby increasing resin accumulation within the tree (Hood and Sala, 2015). Consequently, such trees could form a stronger constitutive defense line against bark beetles. Second, larger resin ducts could rapidly deploy a much higher amount of resin flow to the beetle attack points, which would increase the likelihood of the entrapment of beetles at the host entrance during initial host colonization (Schopmeyer et al., 1954; Hood and Sala, 2015; Cale et al., 2017; Erbilgin et al., 2017). Using the Poiseuille’s Law, one unit increasing in the radius of resin ducts can result in resin flow increasing by a fourth power. Third, larger resin ducts can transport higher viscosity resin within trees (Tyree and Zimmermann, 2002). With higher viscosity, resin can carry higher amounts of terpenes and be more effective during beetle attack (Franceschi et al., 2005). Finally, the resin duct size of residual trees in the healthy and survived categories either remained the same or increased after MPB outbreak, suggesting possible effects of tree genetics and genetics–environment interaction on resin duct size. While some resin duct characteristics (density and production) are influenced by tree genetics in some pine species (Moreira et al., 2015; Westbrook et al., 2015), the heritability of resin duct size remains unclear in lodgepole pine and requires further investigations. Nevertheless, the survival of pine trees with larger resin ducts suggests that bark beetle outbreaks likely drive selection for better-defended lodgepole pine phenotypes. ... </w:t>
      </w:r>
      <w:r w:rsidRPr="00A664EC">
        <w:t xml:space="preserve">We consistently found enhanced anatomical defense structures in residual pine trees during post-outbreak as compared to pre-outbreak periods. This is the first report of enhanced anatomical defenses in pines after bark beetle outbreaks. Two possible post-outbreak stand conditions may explain these results. First, these stands may not provide optimal conditions for tree growth following MPB outbreaks (Cigan et al., 2015; Karst et al., 2015; Pec et al., 2017). In fact, the reduced growth in residual trees right after an outbreak in the current study may reflect less optimal growing conditions in these stands and a possible trade-off between anatomical defense and tree growth. This is expected as the growth-differentiation balance hypothesis predicts that plants favor defense over growth when resources are limited (Herms and Mattson, 1992). Second, it </w:t>
      </w:r>
      <w:r w:rsidRPr="00A664EC">
        <w:lastRenderedPageBreak/>
        <w:t>has been widely documented that plants, including lodgepole pine, under attack from herbivory insects can release volatile organic compounds that can alarm neighboring trees (Baldwin and Schultz, 1983; Engelberth et al., 2004; Hussain et al., 2019), which might have led to the production of additional resin ducts in the healthy trees. This explanation warrants further studies in the field</w:t>
      </w:r>
      <w:r>
        <w:t>.</w:t>
      </w:r>
    </w:p>
    <w:p w:rsidR="007A5AC1" w:rsidRPr="00E35EE4" w:rsidRDefault="007A5AC1" w:rsidP="007A5AC1">
      <w:pPr>
        <w:autoSpaceDE w:val="0"/>
        <w:autoSpaceDN w:val="0"/>
        <w:adjustRightInd w:val="0"/>
      </w:pPr>
      <w:r>
        <w:t xml:space="preserve">Shiyang Zhao and Nadir Erbilgin. 2019. Larger Resin Ducts Are Linked to the Survival of Lodgepole Pine Trees During Mountain Pine Beetle Outbreak. Front. Plant Sci., 26 November 2019 | </w:t>
      </w:r>
      <w:hyperlink r:id="rId24" w:history="1">
        <w:r w:rsidRPr="00152356">
          <w:rPr>
            <w:rStyle w:val="Hyperlink"/>
          </w:rPr>
          <w:t>https://doi.org/10.3389/fpls.2019.01459</w:t>
        </w:r>
      </w:hyperlink>
      <w:r>
        <w:t xml:space="preserve">. </w:t>
      </w:r>
      <w:hyperlink r:id="rId25" w:history="1">
        <w:r w:rsidRPr="00152356">
          <w:rPr>
            <w:rStyle w:val="Hyperlink"/>
          </w:rPr>
          <w:t>https://www.frontiersin.org/articles/10.3389/fpls.2019.01459/full</w:t>
        </w:r>
      </w:hyperlink>
      <w:r>
        <w:t xml:space="preserve">. </w:t>
      </w:r>
    </w:p>
    <w:p w:rsidR="007A5AC1" w:rsidRDefault="007A5AC1" w:rsidP="00E46A67"/>
    <w:p w:rsidR="00892441" w:rsidRDefault="00892441" w:rsidP="00E46A67"/>
    <w:p w:rsidR="00E46A67" w:rsidRPr="00E46A67" w:rsidRDefault="00E46A67" w:rsidP="00E46A67">
      <w:pPr>
        <w:rPr>
          <w:b/>
        </w:rPr>
      </w:pPr>
      <w:r w:rsidRPr="00E46A67">
        <w:rPr>
          <w:b/>
        </w:rPr>
        <w:t xml:space="preserve">The FS violated the NFMA by failing to document compliance with the connectivity requirements of the Eastside Screens. </w:t>
      </w:r>
    </w:p>
    <w:p w:rsidR="00E46A67" w:rsidRDefault="00E46A67" w:rsidP="00E46A67">
      <w:pPr>
        <w:rPr>
          <w:b/>
        </w:rPr>
      </w:pPr>
    </w:p>
    <w:p w:rsidR="001C579A" w:rsidRDefault="001C579A" w:rsidP="001C579A">
      <w:r>
        <w:t xml:space="preserve">The Crow Project EA fails to document compliance with the detailed connectivity requirements of the Eastside Screens. </w:t>
      </w:r>
    </w:p>
    <w:p w:rsidR="001C579A" w:rsidRDefault="001C579A" w:rsidP="001C579A"/>
    <w:p w:rsidR="001C579A" w:rsidRDefault="001C579A" w:rsidP="001C579A">
      <w:r>
        <w:t xml:space="preserve">The explicit intent of the Screens which is “to insure that blocks of habitat maintain a </w:t>
      </w:r>
      <w:r w:rsidRPr="004A771A">
        <w:rPr>
          <w:u w:val="single"/>
        </w:rPr>
        <w:t>high degree</w:t>
      </w:r>
      <w:r>
        <w:t xml:space="preserve"> of connectivity between them,...” 1995 Eastside Screens, Scenario A, INTENT STATEMENT for connectivity (emphasis added).</w:t>
      </w:r>
    </w:p>
    <w:p w:rsidR="001C579A" w:rsidRDefault="001C579A" w:rsidP="001C579A"/>
    <w:p w:rsidR="001C579A" w:rsidRDefault="001C579A" w:rsidP="001C579A">
      <w:r>
        <w:t xml:space="preserve">The connectivity requirements of the screens are detailed and mandatory. Connectivity corridors: </w:t>
      </w:r>
    </w:p>
    <w:p w:rsidR="001C579A" w:rsidRDefault="001C579A" w:rsidP="001C579A">
      <w:pPr>
        <w:pStyle w:val="ListParagraph"/>
        <w:numPr>
          <w:ilvl w:val="0"/>
          <w:numId w:val="5"/>
        </w:numPr>
      </w:pPr>
      <w:r>
        <w:t xml:space="preserve">Must link all late old structure stands in at least 2 directions; </w:t>
      </w:r>
    </w:p>
    <w:p w:rsidR="001C579A" w:rsidRDefault="001C579A" w:rsidP="001C579A">
      <w:pPr>
        <w:pStyle w:val="ListParagraph"/>
        <w:numPr>
          <w:ilvl w:val="0"/>
          <w:numId w:val="5"/>
        </w:numPr>
      </w:pPr>
      <w:r>
        <w:t>Must be at least 400 feet wide at their narrowest spot;</w:t>
      </w:r>
    </w:p>
    <w:p w:rsidR="001C579A" w:rsidRDefault="001C579A" w:rsidP="001C579A">
      <w:pPr>
        <w:pStyle w:val="ListParagraph"/>
        <w:numPr>
          <w:ilvl w:val="0"/>
          <w:numId w:val="5"/>
        </w:numPr>
      </w:pPr>
      <w:r>
        <w:t>Must be maintained as dense as possible with medium and large trees, or in the top third of site-potential and at least 50% canopy cover;</w:t>
      </w:r>
    </w:p>
    <w:p w:rsidR="001C579A" w:rsidRDefault="001C579A" w:rsidP="001C579A"/>
    <w:p w:rsidR="001C579A" w:rsidRDefault="001C579A" w:rsidP="001C579A">
      <w:r>
        <w:t>The Eastside Screens provide ...</w:t>
      </w:r>
    </w:p>
    <w:p w:rsidR="001C579A" w:rsidRPr="0082575C" w:rsidRDefault="001C579A" w:rsidP="001C579A">
      <w:pPr>
        <w:autoSpaceDE w:val="0"/>
        <w:autoSpaceDN w:val="0"/>
        <w:adjustRightInd w:val="0"/>
        <w:spacing w:after="120"/>
        <w:ind w:left="720"/>
        <w:rPr>
          <w:color w:val="000000"/>
          <w:sz w:val="23"/>
          <w:szCs w:val="23"/>
        </w:rPr>
      </w:pPr>
      <w:r>
        <w:rPr>
          <w:color w:val="000000"/>
          <w:sz w:val="23"/>
          <w:szCs w:val="23"/>
        </w:rPr>
        <w:t xml:space="preserve">... </w:t>
      </w:r>
      <w:r w:rsidRPr="0082575C">
        <w:rPr>
          <w:color w:val="000000"/>
          <w:sz w:val="23"/>
          <w:szCs w:val="23"/>
        </w:rPr>
        <w:t xml:space="preserve">it is important to insure that blocks of habitat maintain a high degree of connectivity between them, and that blocks of habitat do not become fragmented in the short-term. </w:t>
      </w:r>
    </w:p>
    <w:p w:rsidR="001C579A" w:rsidRPr="0082575C" w:rsidRDefault="001C579A" w:rsidP="001C579A">
      <w:pPr>
        <w:autoSpaceDE w:val="0"/>
        <w:autoSpaceDN w:val="0"/>
        <w:adjustRightInd w:val="0"/>
        <w:spacing w:after="120"/>
        <w:ind w:left="1440" w:hanging="360"/>
        <w:rPr>
          <w:color w:val="000000"/>
          <w:sz w:val="23"/>
          <w:szCs w:val="23"/>
        </w:rPr>
      </w:pPr>
      <w:r w:rsidRPr="0082575C">
        <w:rPr>
          <w:color w:val="000000"/>
          <w:sz w:val="23"/>
          <w:szCs w:val="23"/>
        </w:rPr>
        <w:t xml:space="preserve">a) Maintain or enhance the current level of connectivity between LOS stands and between all Forest Plan designated “old growth/MR” habitats by maintaining stands between them that serve the purpose of connection as described below: </w:t>
      </w:r>
    </w:p>
    <w:p w:rsidR="001C579A" w:rsidRPr="0082575C" w:rsidRDefault="001C579A" w:rsidP="001C579A">
      <w:pPr>
        <w:autoSpaceDE w:val="0"/>
        <w:autoSpaceDN w:val="0"/>
        <w:adjustRightInd w:val="0"/>
        <w:spacing w:after="120"/>
        <w:ind w:left="1800" w:hanging="360"/>
        <w:rPr>
          <w:color w:val="000000"/>
          <w:sz w:val="23"/>
          <w:szCs w:val="23"/>
        </w:rPr>
      </w:pPr>
      <w:r w:rsidRPr="0082575C">
        <w:rPr>
          <w:color w:val="000000"/>
          <w:sz w:val="23"/>
          <w:szCs w:val="23"/>
        </w:rPr>
        <w:t xml:space="preserve">(1) Network pattern – LOS stands and MR/Old Growth habitats need to be connected with each other inside the watershed as well as to like stands in adjacent watersheds in a contiguous network pattern by at least 2 different directions. </w:t>
      </w:r>
    </w:p>
    <w:p w:rsidR="001C579A" w:rsidRPr="0082575C" w:rsidRDefault="001C579A" w:rsidP="001C579A">
      <w:pPr>
        <w:autoSpaceDE w:val="0"/>
        <w:autoSpaceDN w:val="0"/>
        <w:adjustRightInd w:val="0"/>
        <w:spacing w:after="120"/>
        <w:ind w:left="1800" w:hanging="360"/>
        <w:rPr>
          <w:color w:val="000000"/>
          <w:sz w:val="23"/>
          <w:szCs w:val="23"/>
        </w:rPr>
      </w:pPr>
      <w:r w:rsidRPr="0082575C">
        <w:rPr>
          <w:color w:val="000000"/>
          <w:sz w:val="23"/>
          <w:szCs w:val="23"/>
        </w:rPr>
        <w:t xml:space="preserve">(2) Connectivity Corridor Stand Description – Stands in which medium diameter or larger trees are common, and canopy closures are within the top one-third of site potential. Stand widths should be at least 400 ft. wide at their narrowest point. The only exception to stand width is when it is impossible to meet 400 ft with current vegetative structure, AND these “narrower stands” are the only connections available (use them as last </w:t>
      </w:r>
      <w:r w:rsidRPr="0082575C">
        <w:rPr>
          <w:color w:val="000000"/>
          <w:sz w:val="23"/>
          <w:szCs w:val="23"/>
        </w:rPr>
        <w:lastRenderedPageBreak/>
        <w:t xml:space="preserve">resorts). In the case of lodgepole pine, consider medium to large trees as appropriate diameters for this stand type. </w:t>
      </w:r>
    </w:p>
    <w:p w:rsidR="001C579A" w:rsidRPr="0082575C" w:rsidRDefault="001C579A" w:rsidP="001C579A">
      <w:pPr>
        <w:autoSpaceDE w:val="0"/>
        <w:autoSpaceDN w:val="0"/>
        <w:adjustRightInd w:val="0"/>
        <w:spacing w:after="143"/>
        <w:ind w:left="1800" w:right="143"/>
        <w:rPr>
          <w:color w:val="000000"/>
          <w:sz w:val="23"/>
          <w:szCs w:val="23"/>
        </w:rPr>
      </w:pPr>
      <w:r w:rsidRPr="0082575C">
        <w:rPr>
          <w:color w:val="000000"/>
          <w:sz w:val="23"/>
          <w:szCs w:val="23"/>
        </w:rPr>
        <w:t xml:space="preserve">If stands meeting this description are not available in order to provide at least 2 different connections for a particular LOS stand or MR/Old Growth habitat, leave the next best stands for connections. Again, each LOS and MR/Old Growth habitat must be connected at least 2 different ways. </w:t>
      </w:r>
    </w:p>
    <w:p w:rsidR="001C579A" w:rsidRPr="0082575C" w:rsidRDefault="001C579A" w:rsidP="001C579A">
      <w:pPr>
        <w:autoSpaceDE w:val="0"/>
        <w:autoSpaceDN w:val="0"/>
        <w:adjustRightInd w:val="0"/>
        <w:spacing w:after="143"/>
        <w:ind w:left="1800" w:hanging="360"/>
        <w:rPr>
          <w:color w:val="000000"/>
          <w:sz w:val="23"/>
          <w:szCs w:val="23"/>
        </w:rPr>
      </w:pPr>
      <w:r w:rsidRPr="0082575C">
        <w:rPr>
          <w:color w:val="000000"/>
          <w:sz w:val="23"/>
          <w:szCs w:val="23"/>
        </w:rPr>
        <w:t xml:space="preserve">(3) Length of Connection Corridors – The length of corridors between LOS stands and MR habitats depends on the distance between such stands. Length of corridors should be as short as possible. </w:t>
      </w:r>
    </w:p>
    <w:p w:rsidR="001C579A" w:rsidRPr="0082575C" w:rsidRDefault="001C579A" w:rsidP="001C579A">
      <w:pPr>
        <w:autoSpaceDE w:val="0"/>
        <w:autoSpaceDN w:val="0"/>
        <w:adjustRightInd w:val="0"/>
        <w:spacing w:after="120"/>
        <w:ind w:left="1800" w:hanging="360"/>
        <w:rPr>
          <w:sz w:val="23"/>
          <w:szCs w:val="23"/>
        </w:rPr>
      </w:pPr>
      <w:r w:rsidRPr="0082575C">
        <w:rPr>
          <w:sz w:val="23"/>
          <w:szCs w:val="23"/>
        </w:rPr>
        <w:t xml:space="preserve">(4) Harvesting within connectivity corridors is permitted if all the criteria in (2) above can be met, and if some amount of understory (if any occurs) is left in patches or scattered to assist in supporting stand density and cover. Some understory removal, stocking control, or salvage may be possible activities, depending on the site. </w:t>
      </w:r>
    </w:p>
    <w:p w:rsidR="001C579A" w:rsidRDefault="001C579A" w:rsidP="001C579A">
      <w:pPr>
        <w:rPr>
          <w:sz w:val="23"/>
          <w:szCs w:val="23"/>
        </w:rPr>
      </w:pPr>
      <w:r>
        <w:t>We would like to emphasize that the screens anticipated the possibility of logging in connectivity areas, but there are minimum requirements for that. The screens provide: “</w:t>
      </w:r>
      <w:r w:rsidRPr="0082575C">
        <w:rPr>
          <w:sz w:val="23"/>
          <w:szCs w:val="23"/>
        </w:rPr>
        <w:t>Harvesting within connectivity corridors is permitted if all the criteria in (2) above can be met</w:t>
      </w:r>
      <w:r>
        <w:rPr>
          <w:sz w:val="23"/>
          <w:szCs w:val="23"/>
        </w:rPr>
        <w:t xml:space="preserve"> ...” and some patches of understory are retained.</w:t>
      </w:r>
    </w:p>
    <w:p w:rsidR="001C579A" w:rsidRDefault="001C579A" w:rsidP="001C579A"/>
    <w:p w:rsidR="001C579A" w:rsidRDefault="001C579A" w:rsidP="001C579A">
      <w:r>
        <w:t>The 1995 EA for the Eastside Screens identifies the following process for analyzing connectivity:</w:t>
      </w:r>
    </w:p>
    <w:p w:rsidR="001C579A" w:rsidRPr="006F3C3A" w:rsidRDefault="001C579A" w:rsidP="001C579A">
      <w:pPr>
        <w:autoSpaceDE w:val="0"/>
        <w:autoSpaceDN w:val="0"/>
        <w:adjustRightInd w:val="0"/>
        <w:ind w:left="720"/>
      </w:pPr>
      <w:r w:rsidRPr="006F3C3A">
        <w:t>c) To insure connectivity as described above is maintained, use</w:t>
      </w:r>
      <w:r>
        <w:t xml:space="preserve"> </w:t>
      </w:r>
      <w:r w:rsidRPr="006F3C3A">
        <w:t>the following process:</w:t>
      </w:r>
    </w:p>
    <w:p w:rsidR="001C579A" w:rsidRPr="006F3C3A" w:rsidRDefault="001C579A" w:rsidP="001C579A">
      <w:pPr>
        <w:autoSpaceDE w:val="0"/>
        <w:autoSpaceDN w:val="0"/>
        <w:adjustRightInd w:val="0"/>
        <w:ind w:left="720"/>
      </w:pPr>
      <w:r w:rsidRPr="006F3C3A">
        <w:t>(l) Do suitable network linkages between old and late</w:t>
      </w:r>
      <w:r>
        <w:t xml:space="preserve"> </w:t>
      </w:r>
      <w:r w:rsidRPr="006F3C3A">
        <w:t>structural stands and MR-designated habitats occur, according to the previous</w:t>
      </w:r>
      <w:r>
        <w:t xml:space="preserve"> </w:t>
      </w:r>
      <w:r w:rsidRPr="006F3C3A">
        <w:t>description? If so, will the proposed project isolate any area or group of</w:t>
      </w:r>
      <w:r>
        <w:t xml:space="preserve"> </w:t>
      </w:r>
      <w:r w:rsidRPr="006F3C3A">
        <w:t>areas by reducing any one of the parameters below acceptable levels? If not,</w:t>
      </w:r>
      <w:r>
        <w:t xml:space="preserve"> </w:t>
      </w:r>
      <w:r w:rsidRPr="006F3C3A">
        <w:t>the project can continue. If so, the project must be deferred or re-designed to</w:t>
      </w:r>
      <w:r>
        <w:t xml:space="preserve"> </w:t>
      </w:r>
      <w:r w:rsidRPr="006F3C3A">
        <w:t>meet connectivity parameters described above.</w:t>
      </w:r>
    </w:p>
    <w:p w:rsidR="001C579A" w:rsidRPr="006F3C3A" w:rsidRDefault="001C579A" w:rsidP="001C579A">
      <w:pPr>
        <w:autoSpaceDE w:val="0"/>
        <w:autoSpaceDN w:val="0"/>
        <w:adjustRightInd w:val="0"/>
        <w:ind w:left="720"/>
      </w:pPr>
      <w:r w:rsidRPr="006F3C3A">
        <w:t>(2) Do suitable network linkages between old and late</w:t>
      </w:r>
      <w:r>
        <w:t xml:space="preserve"> </w:t>
      </w:r>
      <w:r w:rsidRPr="006F3C3A">
        <w:t>structural stands and MR-designated habitats NOT OCCUR under current conditions,</w:t>
      </w:r>
      <w:r>
        <w:t xml:space="preserve"> </w:t>
      </w:r>
      <w:r w:rsidRPr="006F3C3A">
        <w:t>as described above? If areas are already isolated, or partially isolated by not</w:t>
      </w:r>
      <w:r>
        <w:t xml:space="preserve"> </w:t>
      </w:r>
      <w:r w:rsidRPr="006F3C3A">
        <w:t xml:space="preserve">meeting the connectivity description above, will the proposed </w:t>
      </w:r>
      <w:r>
        <w:t xml:space="preserve">prescription </w:t>
      </w:r>
      <w:r w:rsidRPr="006F3C3A">
        <w:t xml:space="preserve">promote linkage sooner </w:t>
      </w:r>
      <w:r>
        <w:t>than i</w:t>
      </w:r>
      <w:r w:rsidRPr="006F3C3A">
        <w:t>f left alone? If so, the project should continue.</w:t>
      </w:r>
      <w:r>
        <w:t xml:space="preserve"> </w:t>
      </w:r>
      <w:r w:rsidRPr="006F3C3A">
        <w:t>If the project is designed in a manner that would further increase isolation,</w:t>
      </w:r>
      <w:r>
        <w:t xml:space="preserve"> </w:t>
      </w:r>
      <w:r w:rsidRPr="006F3C3A">
        <w:t>the project must be deferred or re-designed to enhance connectivity parameters.</w:t>
      </w:r>
    </w:p>
    <w:p w:rsidR="001C579A" w:rsidRDefault="001C579A" w:rsidP="001C579A"/>
    <w:p w:rsidR="001C579A" w:rsidRPr="001C579A" w:rsidRDefault="001C579A" w:rsidP="00E46A67">
      <w:r>
        <w:t xml:space="preserve">The NEPA analysis must disclose how much of the project area will maintain &gt;50% canopy closure (or in the top third of site potential) after this project is implemented. The 1995 EA supporting the Eastside Screens says “The intent is to maintain canopy closure as dense as possible.” The Response to Comment asks “where the &gt;50% canopy closure number came from.” The &gt;50% canopy closure number comes from the 1995 EA for the Eastside Screens which included some clarifying text about connectivity on page 17 of </w:t>
      </w:r>
      <w:r>
        <w:lastRenderedPageBreak/>
        <w:t>Appendix C. Violation of the Eastside Screens, is a violation of NFMA which requires compliance with the LRMP as amended by the Screens.</w:t>
      </w:r>
    </w:p>
    <w:p w:rsidR="00E46A67" w:rsidRDefault="00E46A67" w:rsidP="00E46A67">
      <w:pPr>
        <w:rPr>
          <w:b/>
        </w:rPr>
      </w:pPr>
    </w:p>
    <w:p w:rsidR="001C579A" w:rsidRDefault="001C579A" w:rsidP="001C579A">
      <w:r>
        <w:t>All site-specific activities must comply with the governing forest plan. National Forest Management Act, 16 U.S.C. § 1604(i) (governing FS management of national forest lands).</w:t>
      </w:r>
      <w:r w:rsidR="001261C5">
        <w:t xml:space="preserve"> And </w:t>
      </w:r>
      <w:r w:rsidR="00E014C9">
        <w:t xml:space="preserve">in our evidence-based administrative system, </w:t>
      </w:r>
      <w:r w:rsidR="001261C5">
        <w:t xml:space="preserve">compliance </w:t>
      </w:r>
      <w:r w:rsidR="00E014C9">
        <w:t xml:space="preserve">with substantive requirements </w:t>
      </w:r>
      <w:r w:rsidR="001261C5">
        <w:t>must be documented:</w:t>
      </w:r>
      <w:r>
        <w:t xml:space="preserve"> </w:t>
      </w:r>
    </w:p>
    <w:p w:rsidR="001C579A" w:rsidRDefault="001C579A" w:rsidP="001C579A"/>
    <w:p w:rsidR="001C579A" w:rsidRDefault="001C579A" w:rsidP="001C579A">
      <w:pPr>
        <w:pStyle w:val="BodyText"/>
        <w:rPr>
          <w:szCs w:val="24"/>
        </w:rPr>
      </w:pPr>
      <w:r>
        <w:rPr>
          <w:szCs w:val="24"/>
        </w:rPr>
        <w:t xml:space="preserve">NEPA requires disclosure of information necessary to determine compliance with legal requirements such as the Endangered Species Act, Clean Water Act, National Forest Management Act, and applicable Forest Plan Standards &amp; Guidelines. See 40 CFR 15087.27(b)(10) and </w:t>
      </w:r>
      <w:r>
        <w:rPr>
          <w:szCs w:val="24"/>
          <w:u w:val="single"/>
        </w:rPr>
        <w:t>NW Indian Cemetery Protective Association v. Peterson,</w:t>
      </w:r>
      <w:r>
        <w:rPr>
          <w:szCs w:val="24"/>
        </w:rPr>
        <w:t xml:space="preserve"> 795 F2d 688 (9</w:t>
      </w:r>
      <w:r>
        <w:rPr>
          <w:szCs w:val="24"/>
          <w:vertAlign w:val="superscript"/>
        </w:rPr>
        <w:t>th</w:t>
      </w:r>
      <w:r>
        <w:rPr>
          <w:szCs w:val="24"/>
        </w:rPr>
        <w:t xml:space="preserve"> Circ. 1986). </w:t>
      </w:r>
      <w:r>
        <w:t xml:space="preserve">In this G-O Road case, the NEPA document described water quality changes resulting from a road project in terms of 7-day average changes, whereas the applicable WQ standard was defined by daily peak changes. The court found this to be a NEPA violation. </w:t>
      </w:r>
    </w:p>
    <w:p w:rsidR="001C579A" w:rsidRDefault="001C579A" w:rsidP="001C579A">
      <w:pPr>
        <w:pStyle w:val="BodyText"/>
        <w:rPr>
          <w:szCs w:val="24"/>
        </w:rPr>
      </w:pPr>
    </w:p>
    <w:p w:rsidR="001C579A" w:rsidRDefault="001C579A" w:rsidP="001C579A">
      <w:pPr>
        <w:pStyle w:val="BodyText"/>
        <w:rPr>
          <w:szCs w:val="24"/>
        </w:rPr>
      </w:pPr>
      <w:r>
        <w:rPr>
          <w:szCs w:val="24"/>
        </w:rPr>
        <w:t>The USDA Office of General Counsel agrees that project level analysis must document “Project Compliance With Other Laws.”</w:t>
      </w:r>
    </w:p>
    <w:p w:rsidR="001C579A" w:rsidRDefault="001C579A" w:rsidP="001C579A">
      <w:pPr>
        <w:pStyle w:val="BodyText"/>
        <w:ind w:left="720"/>
        <w:rPr>
          <w:szCs w:val="24"/>
        </w:rPr>
      </w:pPr>
      <w:r>
        <w:rPr>
          <w:szCs w:val="24"/>
        </w:rPr>
        <w:t xml:space="preserve"> In addition to consistency with the LRMP each project must be in compliance with NEPA, CWA, CAA and other laws. Simply being consistent with the LRMP does not fulfill the site-specific requirements of Federal law. Project level analysis is to "determine findings for NFMA, to ensure compliance with NEPA, and to meet other appropriate laws and regulations." Forest Service Land and Resource Management Planning, FSM 1920 and Forest Service Handbook 1909.12, 5.31. 53 Fed. Reg. 26807, 26836 (July 15, 1988).</w:t>
      </w:r>
    </w:p>
    <w:p w:rsidR="001C579A" w:rsidRDefault="001C579A" w:rsidP="001C579A">
      <w:pPr>
        <w:pStyle w:val="BodyText"/>
      </w:pPr>
      <w:r>
        <w:rPr>
          <w:szCs w:val="24"/>
        </w:rPr>
        <w:t xml:space="preserve">OGC, “Forest Plan and Project Level Decisionmaking— Overview of Forest Planning and Project Level Decisionmaking,” </w:t>
      </w:r>
      <w:hyperlink r:id="rId26" w:history="1">
        <w:r>
          <w:rPr>
            <w:rStyle w:val="Hyperlink"/>
            <w:szCs w:val="24"/>
          </w:rPr>
          <w:t>http://web.archive.org/web/20030111060230/http://www.fs.fed.us/forum/nepa/decisionm/p4.html</w:t>
        </w:r>
      </w:hyperlink>
    </w:p>
    <w:p w:rsidR="001C579A" w:rsidRDefault="006B177F" w:rsidP="001C579A">
      <w:pPr>
        <w:pStyle w:val="BodyText"/>
        <w:rPr>
          <w:szCs w:val="24"/>
        </w:rPr>
      </w:pPr>
      <w:hyperlink r:id="rId27" w:history="1">
        <w:r w:rsidR="001C579A">
          <w:rPr>
            <w:rStyle w:val="Hyperlink"/>
            <w:szCs w:val="24"/>
          </w:rPr>
          <w:t>http://web.archive.org/web/20060829000705/http://www.fs.fed.us/emc/nfma/includes/overview.pdf</w:t>
        </w:r>
      </w:hyperlink>
      <w:r w:rsidR="001C579A">
        <w:rPr>
          <w:szCs w:val="24"/>
        </w:rPr>
        <w:t xml:space="preserve"> </w:t>
      </w:r>
    </w:p>
    <w:p w:rsidR="001C579A" w:rsidRDefault="001C579A" w:rsidP="001C579A">
      <w:pPr>
        <w:pStyle w:val="BodyText"/>
      </w:pPr>
    </w:p>
    <w:p w:rsidR="001C579A" w:rsidRDefault="001C579A" w:rsidP="001C579A">
      <w:r>
        <w:t>The CEQ NEPA regulations also require an analysis of legal requirements in order to determine whether an action may cause significant impacts on the environment. 40 CFR §1508.27(b)(10) (“</w:t>
      </w:r>
      <w:r>
        <w:rPr>
          <w:i/>
        </w:rPr>
        <w:t>Significantly</w:t>
      </w:r>
      <w:r>
        <w:t xml:space="preserve">, as used in NEPA, requires considerations of both context and intensity: … </w:t>
      </w:r>
      <w:r>
        <w:rPr>
          <w:u w:val="single"/>
        </w:rPr>
        <w:t>The following should be considered in evaluating intensity</w:t>
      </w:r>
      <w:r>
        <w:t xml:space="preserve">: … </w:t>
      </w:r>
      <w:r>
        <w:rPr>
          <w:u w:val="single"/>
        </w:rPr>
        <w:t>Whether the action threatens a violation of Federal, State, or local law or requirements imposed for the protection of the environment</w:t>
      </w:r>
      <w:r>
        <w:t xml:space="preserve">.” </w:t>
      </w:r>
      <w:r>
        <w:rPr>
          <w:i/>
        </w:rPr>
        <w:t>Emphasis added.</w:t>
      </w:r>
      <w:r>
        <w:t xml:space="preserve">) </w:t>
      </w:r>
      <w:r>
        <w:rPr>
          <w:u w:val="single"/>
        </w:rPr>
        <w:t xml:space="preserve">SAS v. Mosely </w:t>
      </w:r>
      <w:r>
        <w:t xml:space="preserve">798 F.Supp. 1473 (W.D. Wash. May 1992) (“The FEIS has thus mentioned what appears to be a major consequence of the plan jeopardy to other species that live in the old growth forests </w:t>
      </w:r>
      <w:r>
        <w:rPr>
          <w:u w:val="single"/>
        </w:rPr>
        <w:t>without explaining the magnitude of the risk or attempting to justify a potential abandonment of conservation duties imposed by law. An EIS devoid of this information does not meet the requirements of NEPA</w:t>
      </w:r>
      <w:r>
        <w:t xml:space="preserve">.” </w:t>
      </w:r>
      <w:r>
        <w:rPr>
          <w:i/>
        </w:rPr>
        <w:t>Emphasis added.</w:t>
      </w:r>
      <w:r>
        <w:t>)</w:t>
      </w:r>
    </w:p>
    <w:p w:rsidR="001C579A" w:rsidRDefault="001C579A" w:rsidP="001C579A"/>
    <w:p w:rsidR="001C579A" w:rsidRDefault="001C579A" w:rsidP="001C579A">
      <w:r>
        <w:lastRenderedPageBreak/>
        <w:t xml:space="preserve">The Forest Service NEPA Handbook also requires that Decision Notices explain complete[ly] and comprehensive[ly]” how the NEPA decision complies with applicable legal requirements including the LRMP land allocations and Standards &amp; Guidelines. </w:t>
      </w:r>
    </w:p>
    <w:p w:rsidR="001C579A" w:rsidRDefault="001C579A" w:rsidP="001C579A">
      <w:pPr>
        <w:ind w:left="720"/>
      </w:pPr>
      <w:r>
        <w:t xml:space="preserve">FSH 1909.15 Chapter 40, 43.21 - </w:t>
      </w:r>
      <w:r>
        <w:rPr>
          <w:b/>
        </w:rPr>
        <w:t>Format and Content</w:t>
      </w:r>
      <w:r>
        <w:t xml:space="preserve"> </w:t>
      </w:r>
    </w:p>
    <w:p w:rsidR="001C579A" w:rsidRDefault="001C579A" w:rsidP="001C579A">
      <w:pPr>
        <w:ind w:left="720"/>
      </w:pPr>
      <w:r>
        <w:t xml:space="preserve">Decision notices document the conclusions drawn and the decision(s) made based on the analysis in the EA. Decision notices should conform to the following format and content. While sections may be combined or rearranged in the interest of clarity and brevity, the </w:t>
      </w:r>
      <w:r>
        <w:rPr>
          <w:u w:val="single"/>
        </w:rPr>
        <w:t>information needs to be complete and comprehensive</w:t>
      </w:r>
      <w:r>
        <w:t xml:space="preserve">. </w:t>
      </w:r>
    </w:p>
    <w:p w:rsidR="001C579A" w:rsidRDefault="001C579A" w:rsidP="001C579A">
      <w:pPr>
        <w:ind w:left="720"/>
      </w:pPr>
      <w:r>
        <w:t>…</w:t>
      </w:r>
    </w:p>
    <w:p w:rsidR="001C579A" w:rsidRDefault="001C579A" w:rsidP="001C579A">
      <w:pPr>
        <w:ind w:left="720"/>
      </w:pPr>
      <w:r>
        <w:t xml:space="preserve">6. Findings required by other laws and regulations. Include any findings required by any other laws which apply to the decision being made. Cite the project record or environmental analysis document that contains the information being used to support the findings. </w:t>
      </w:r>
      <w:r>
        <w:rPr>
          <w:u w:val="single"/>
        </w:rPr>
        <w:t>Describe how the decision is consistent with applicable laws and regulations. For example, findings regarding consistency with the forest plan (allocation, and standards and guidelines</w:t>
      </w:r>
      <w:r>
        <w:t>), suitability for timber production, and vegetation management criteria required by the National Forest Management Act and 36 CFR part 219. (emphasis added)</w:t>
      </w:r>
    </w:p>
    <w:p w:rsidR="001C579A" w:rsidRDefault="006B177F" w:rsidP="001C579A">
      <w:hyperlink r:id="rId28" w:history="1">
        <w:r w:rsidR="001C579A">
          <w:rPr>
            <w:rStyle w:val="Hyperlink"/>
          </w:rPr>
          <w:t>http://web.archive.org/web/20090118192937/http://www.fs.fed.us/im/directives/fsh/1909.15/1909.15_40.doc</w:t>
        </w:r>
      </w:hyperlink>
    </w:p>
    <w:p w:rsidR="001C579A" w:rsidRDefault="001C579A" w:rsidP="001C579A"/>
    <w:p w:rsidR="001C579A" w:rsidRDefault="001C579A" w:rsidP="001C579A">
      <w:pPr>
        <w:autoSpaceDE w:val="0"/>
      </w:pPr>
      <w:r>
        <w:t xml:space="preserve">See also, Judge King's October 2003 Decision in </w:t>
      </w:r>
      <w:r>
        <w:rPr>
          <w:u w:val="single"/>
        </w:rPr>
        <w:t>ONRC Action v. U.S. Forest Service</w:t>
      </w:r>
      <w:r>
        <w:t>, CV. 03-613-KI</w:t>
      </w:r>
      <w:r w:rsidRPr="00FF7EA7">
        <w:t xml:space="preserve"> (“</w:t>
      </w:r>
      <w:r w:rsidRPr="00FF7EA7">
        <w:rPr>
          <w:u w:val="single"/>
        </w:rPr>
        <w:t>The underlying EAs for the timber sales at issue did not properly frame the Forest Service’s survey and manage duties</w:t>
      </w:r>
      <w:r w:rsidRPr="00FF7EA7">
        <w:t xml:space="preserve">, they did not analyze a range of alternatives based upon these duties, they did not evaluate completed surveys, they did not demonstrate that the Forest Service had all of the proper information before it before allowing logging, and they did not provide for public influence over the decisions. For all of these reasons, </w:t>
      </w:r>
      <w:r w:rsidRPr="00FF7EA7">
        <w:rPr>
          <w:u w:val="single"/>
        </w:rPr>
        <w:t>the underlying EAs are legally deficient</w:t>
      </w:r>
      <w:r w:rsidRPr="00FF7EA7">
        <w:t>.</w:t>
      </w:r>
      <w:r w:rsidRPr="00FF7EA7">
        <w:rPr>
          <w:sz w:val="20"/>
        </w:rPr>
        <w:t xml:space="preserve">” </w:t>
      </w:r>
      <w:r w:rsidRPr="00FF7EA7">
        <w:rPr>
          <w:i/>
        </w:rPr>
        <w:t>Emphasis added.</w:t>
      </w:r>
      <w:r w:rsidRPr="00FF7EA7">
        <w:t xml:space="preserve">) </w:t>
      </w:r>
      <w:hyperlink r:id="rId29" w:history="1">
        <w:r>
          <w:rPr>
            <w:rStyle w:val="Hyperlink"/>
          </w:rPr>
          <w:t>http://web.archive.org/web/20041105214752/http://www.onrc.org/press/ONRCv.USFS.pdf</w:t>
        </w:r>
      </w:hyperlink>
      <w:r>
        <w:rPr>
          <w:rFonts w:ascii="Cambria Math" w:hAnsi="Cambria Math" w:cs="Cambria Math"/>
        </w:rPr>
        <w:t xml:space="preserve"> </w:t>
      </w:r>
    </w:p>
    <w:p w:rsidR="001C579A" w:rsidRDefault="001C579A" w:rsidP="001C579A">
      <w:r>
        <w:t xml:space="preserve">And also Judge Hogan’s ruling in </w:t>
      </w:r>
      <w:r>
        <w:rPr>
          <w:u w:val="single"/>
        </w:rPr>
        <w:t>Klamath Siskiyou Wildlands Center v. Boody</w:t>
      </w:r>
      <w:r>
        <w:t xml:space="preserve"> (D. Or. #03-3124-CO. May 18, 2004) where he held “plaintiffs have raised a serious question as to whether BLM violated NEPA in failing to disclose sufficient information in the EA to confirm compliance with … the RMP.” (Order at page 18).</w:t>
      </w:r>
    </w:p>
    <w:p w:rsidR="001C579A" w:rsidRDefault="001C579A" w:rsidP="001C579A"/>
    <w:p w:rsidR="001C579A" w:rsidRDefault="001C579A" w:rsidP="001C579A">
      <w:r>
        <w:t>The 9</w:t>
      </w:r>
      <w:r>
        <w:rPr>
          <w:vertAlign w:val="superscript"/>
        </w:rPr>
        <w:t>th</w:t>
      </w:r>
      <w:r>
        <w:t xml:space="preserve"> Circuit has explicitly found that a EIS violates NEPA when it has an inaccurate or misleading description of forest plan requirements. </w:t>
      </w:r>
    </w:p>
    <w:p w:rsidR="001C579A" w:rsidRDefault="001C579A" w:rsidP="001C579A">
      <w:pPr>
        <w:autoSpaceDE w:val="0"/>
        <w:ind w:left="720"/>
      </w:pPr>
      <w:r>
        <w:t xml:space="preserve">The Forest Service’s use of a hiding cover denominator in the EIS other than that allowed by the HNF Plan arbitrarily and capriciously skewed the EIS’s elk herd hiding cover percentage. Consequently, the Elkhorn project EIS did not provide a “full and fair” discussion of the potential effects of the project on elk hiding cover and did not “inform[ ] decision-makers and the public of the reasonable alternatives which would avoid or minimize adverse impacts” on the Sheep Creek elk herd. </w:t>
      </w:r>
      <w:r>
        <w:rPr>
          <w:i/>
          <w:iCs/>
        </w:rPr>
        <w:t>Klamath-Siskiyou Wildlands Ctr.</w:t>
      </w:r>
      <w:r>
        <w:t xml:space="preserve">, 387 F.3d at 993 (quoting 40 C.F.R. § 1502.1); </w:t>
      </w:r>
      <w:r>
        <w:rPr>
          <w:i/>
          <w:iCs/>
        </w:rPr>
        <w:t>see also Animal Def. Council v. Hodel</w:t>
      </w:r>
      <w:r>
        <w:t xml:space="preserve">, 840 F.2d 1432, 1439 (9th Cir. 1988) (“Where the information in the initial EIS was so incomplete or misleading that the decisionmaker and the public could not make an informed comparison of </w:t>
      </w:r>
      <w:r>
        <w:lastRenderedPageBreak/>
        <w:t xml:space="preserve">the alternatives, revision of an EIS may be necessary to provide a reasonable, good faith, and objective presentation of the subjects required by NEPA.”) (internal quotation marks omitted), </w:t>
      </w:r>
      <w:r>
        <w:rPr>
          <w:i/>
          <w:iCs/>
        </w:rPr>
        <w:t xml:space="preserve">amended by </w:t>
      </w:r>
      <w:r>
        <w:t>867 F.2d 1244 (9th Cir. 1989).</w:t>
      </w:r>
    </w:p>
    <w:p w:rsidR="001C579A" w:rsidRDefault="001C579A" w:rsidP="001C579A">
      <w:pPr>
        <w:autoSpaceDE w:val="0"/>
        <w:ind w:left="720"/>
      </w:pPr>
      <w:r>
        <w:t>…</w:t>
      </w:r>
    </w:p>
    <w:p w:rsidR="001C579A" w:rsidRDefault="001C579A" w:rsidP="001C579A">
      <w:pPr>
        <w:autoSpaceDE w:val="0"/>
        <w:ind w:left="720"/>
        <w:rPr>
          <w:u w:val="single"/>
        </w:rPr>
      </w:pPr>
      <w:r>
        <w:t>The Elkhorn project EIS is inadequate under NEPA because, by using a hiding cover calculation denominator that is inconsistent with that required by the HNF plan, the agency did not take a “hard look” at the project’s true effect and failed to inform the public of the project’s environmental impact.</w:t>
      </w:r>
    </w:p>
    <w:p w:rsidR="001C579A" w:rsidRDefault="001C579A" w:rsidP="001C579A">
      <w:pPr>
        <w:autoSpaceDE w:val="0"/>
      </w:pPr>
      <w:r>
        <w:rPr>
          <w:u w:val="single"/>
        </w:rPr>
        <w:t>Native Ecosystems Council v. USFS</w:t>
      </w:r>
      <w:r>
        <w:t>. (9</w:t>
      </w:r>
      <w:r>
        <w:rPr>
          <w:vertAlign w:val="superscript"/>
        </w:rPr>
        <w:t>th</w:t>
      </w:r>
      <w:r>
        <w:t xml:space="preserve"> Circuit August 11, 2005) </w:t>
      </w:r>
      <w:hyperlink r:id="rId30" w:history="1">
        <w:r w:rsidRPr="00526A93">
          <w:rPr>
            <w:rStyle w:val="Hyperlink"/>
          </w:rPr>
          <w:t>http://www.ntc.blm.gov/krc/uploads/194/2h%20-%20Native%20Ecosystems%20Council%20v%20US%20Forest%20Service%20--%20Jimtown.pdf</w:t>
        </w:r>
      </w:hyperlink>
      <w:r>
        <w:t xml:space="preserve">. </w:t>
      </w:r>
    </w:p>
    <w:p w:rsidR="001C579A" w:rsidRPr="00E46A67" w:rsidRDefault="001C579A" w:rsidP="00E46A67">
      <w:pPr>
        <w:rPr>
          <w:b/>
        </w:rPr>
      </w:pPr>
    </w:p>
    <w:p w:rsidR="00E46A67" w:rsidRPr="00E46A67" w:rsidRDefault="00E46A67" w:rsidP="00E46A67">
      <w:pPr>
        <w:rPr>
          <w:b/>
        </w:rPr>
      </w:pPr>
      <w:r w:rsidRPr="00E46A67">
        <w:rPr>
          <w:b/>
        </w:rPr>
        <w:t>The FS violated NEPA by failing to take a hard look at the carbon/climate consequences of logging.</w:t>
      </w:r>
    </w:p>
    <w:p w:rsidR="00E46A67" w:rsidRPr="00E46A67" w:rsidRDefault="00E46A67" w:rsidP="00E46A67">
      <w:pPr>
        <w:rPr>
          <w:b/>
        </w:rPr>
      </w:pPr>
    </w:p>
    <w:p w:rsidR="00B3413E" w:rsidRPr="00A62C43" w:rsidRDefault="00B3413E" w:rsidP="00B3413E">
      <w:pPr>
        <w:pStyle w:val="Heading2"/>
        <w:keepLines w:val="0"/>
        <w:numPr>
          <w:ilvl w:val="1"/>
          <w:numId w:val="0"/>
        </w:numPr>
        <w:tabs>
          <w:tab w:val="num" w:pos="0"/>
        </w:tabs>
        <w:suppressAutoHyphens/>
        <w:spacing w:before="0"/>
        <w:ind w:left="576" w:hanging="576"/>
      </w:pPr>
      <w:bookmarkStart w:id="0" w:name="_Toc66702845"/>
      <w:r w:rsidRPr="00A62C43">
        <w:t>The Purpose and Need should Address The Unmet Need for Carbon Storage</w:t>
      </w:r>
      <w:bookmarkEnd w:id="0"/>
    </w:p>
    <w:p w:rsidR="00B3413E" w:rsidRDefault="00B3413E" w:rsidP="00B3413E"/>
    <w:p w:rsidR="00B3413E" w:rsidRDefault="00B3413E" w:rsidP="00B3413E">
      <w:r>
        <w:t xml:space="preserve">The agency typically says one of the purposes of this project is to provide a supply of wood products to the public. The agency should reconsider timber targets in light of the fact that the public </w:t>
      </w:r>
      <w:r w:rsidRPr="00EB69D6">
        <w:rPr>
          <w:i/>
        </w:rPr>
        <w:t>needs</w:t>
      </w:r>
      <w:r>
        <w:t xml:space="preserve"> carbon storage to reduce global climate change much more than they </w:t>
      </w:r>
      <w:r w:rsidRPr="00EB69D6">
        <w:rPr>
          <w:i/>
        </w:rPr>
        <w:t>need</w:t>
      </w:r>
      <w:r>
        <w:t xml:space="preserve"> wood products. The NEPA analysis also needs to account for the fact that managing forests for water quality, water quantity, quality of life, and carbon storage for a stable climate will contribute far more to community stability than propping up the timber boom-bust industry with subsidized logging.</w:t>
      </w:r>
    </w:p>
    <w:p w:rsidR="00B3413E" w:rsidRDefault="00B3413E" w:rsidP="00B3413E"/>
    <w:p w:rsidR="00B3413E" w:rsidRDefault="00B3413E" w:rsidP="00B3413E">
      <w:r>
        <w:t>The agency must recognize that wood products are already under-priced and over-supplied due to “externalities” (costs that are not included in the price of wood, so those costs are shifted from wood product producers and consumers to the general public who suffer the consequences of climate change without compensation from those who profit from logging related externalities). Ecosystem carbon storage on the other hand is under-supplied because there is not a functioning market for carbon storage and climate services. The agency is in a position to address these market imperfections by focusing on unmet demand for carbon storage instead of offering wood products that are already oversupplied.</w:t>
      </w:r>
    </w:p>
    <w:p w:rsidR="00B3413E" w:rsidRDefault="00B3413E" w:rsidP="00B3413E"/>
    <w:p w:rsidR="00B3413E" w:rsidRDefault="00B3413E" w:rsidP="00B3413E">
      <w:pPr>
        <w:autoSpaceDE w:val="0"/>
        <w:ind w:left="720"/>
      </w:pPr>
      <w:r>
        <w:t xml:space="preserve">Land protection, both public and private, provides substantial ecological benefits by avoiding conversion of natural systems to intensive, developed uses. These benefits include carbon sequestration, watershed functioning, soil conservation, and the preservation of diverse habitat types (e.g., Daily 1997, Brauman et al. 2007, Kumar 2012, Watson et al. 2014). Land protection also solves a key market failure: private markets tend to underprovide socially beneficial land uses such as natural forests, agricultural lands, or managed timberlands. The reason for this failure is that many of the benefits of these lands go to the public in general, not individual landowners. When private values and market transactions determine </w:t>
      </w:r>
      <w:r>
        <w:lastRenderedPageBreak/>
        <w:t>land uses, less land will be devoted to socially beneficial uses than if citizens could collectively determine use on the basis of social values (e.g., Angelsen 2010, Tietenberg and Lewis 2016).</w:t>
      </w:r>
    </w:p>
    <w:p w:rsidR="00B3413E" w:rsidRDefault="00B3413E" w:rsidP="00B3413E">
      <w:pPr>
        <w:autoSpaceDE w:val="0"/>
      </w:pPr>
      <w:r>
        <w:t xml:space="preserve">Katharine R.E. Sims, Jonathan R. Thompson, Spencer R. Meyer, Christoph Nolte, Joshua S. Plisinski. 2019. Assessing the local economic impacts of land protection. Conservation Biology. 26 March 2019 </w:t>
      </w:r>
      <w:hyperlink r:id="rId31" w:history="1">
        <w:r w:rsidRPr="00A404B7">
          <w:rPr>
            <w:rStyle w:val="Hyperlink"/>
          </w:rPr>
          <w:t>https://doi.org/10.1111/cobi.13318</w:t>
        </w:r>
      </w:hyperlink>
      <w:r>
        <w:t xml:space="preserve">, </w:t>
      </w:r>
      <w:hyperlink r:id="rId32" w:history="1">
        <w:r>
          <w:rPr>
            <w:rStyle w:val="Hyperlink"/>
          </w:rPr>
          <w:t>https://harvardforest.fas.harvard.edu/sites/default/files/Sims_et_al-2019-Conservation_Biology.pdf</w:t>
        </w:r>
      </w:hyperlink>
      <w:r>
        <w:t>.</w:t>
      </w:r>
    </w:p>
    <w:p w:rsidR="00B3413E" w:rsidRDefault="00B3413E" w:rsidP="00B3413E"/>
    <w:p w:rsidR="00B3413E" w:rsidRDefault="00B3413E" w:rsidP="00B3413E">
      <w:pPr>
        <w:pStyle w:val="Heading2"/>
        <w:keepLines w:val="0"/>
        <w:numPr>
          <w:ilvl w:val="1"/>
          <w:numId w:val="0"/>
        </w:numPr>
        <w:tabs>
          <w:tab w:val="num" w:pos="0"/>
        </w:tabs>
        <w:suppressAutoHyphens/>
        <w:spacing w:before="0"/>
        <w:ind w:left="576" w:hanging="576"/>
      </w:pPr>
      <w:bookmarkStart w:id="1" w:name="_Toc66702846"/>
      <w:r>
        <w:t>Do not rely on the flawed boilerplate climate analyses</w:t>
      </w:r>
      <w:bookmarkEnd w:id="1"/>
    </w:p>
    <w:p w:rsidR="00B3413E" w:rsidRDefault="00B3413E" w:rsidP="00B3413E">
      <w:pPr>
        <w:rPr>
          <w:highlight w:val="yellow"/>
        </w:rPr>
      </w:pPr>
    </w:p>
    <w:p w:rsidR="00B3413E" w:rsidRDefault="00B3413E" w:rsidP="00B3413E">
      <w:r>
        <w:t>As explained below, the Forest Service’s standardized NEPA language regarding carbon and climate change fails to take a hard look that NEPA requires. The analysis makes several highly misleading statements about forest carbon and climate change. The analysis inappropriately mischaracterizes the role of individual logging projects in the cumulative problem of global GHG emissions. The analysis misstates the effects of logging related carbon emissions that are not related to “deforestation.” The analysis grossly misstates the climate effects of logging intended to reduce disturbance. The analysis misleadingly implies that logging benefits the climate by increasing forest productivity.</w:t>
      </w:r>
    </w:p>
    <w:p w:rsidR="00B3413E" w:rsidRDefault="00B3413E" w:rsidP="00B3413E"/>
    <w:p w:rsidR="00B3413E" w:rsidRPr="00BE282B" w:rsidRDefault="00B3413E" w:rsidP="00B3413E">
      <w:r w:rsidRPr="00BE282B">
        <w:t xml:space="preserve">The NEPA analysis should consider the adverse climate consequences of GHG emissions caused directly and indirectly by logging. </w:t>
      </w:r>
      <w:r>
        <w:t xml:space="preserve">The Forest Service should </w:t>
      </w:r>
      <w:r w:rsidRPr="00BE282B">
        <w:t xml:space="preserve">not </w:t>
      </w:r>
      <w:r>
        <w:t>rely on</w:t>
      </w:r>
      <w:r w:rsidRPr="00BE282B">
        <w:t xml:space="preserve"> t</w:t>
      </w:r>
      <w:r>
        <w:t>he boilerplate NEPA language fro</w:t>
      </w:r>
      <w:r w:rsidRPr="00BE282B">
        <w:t>m the regional office which is flawed in many ways</w:t>
      </w:r>
      <w:r>
        <w:t>. Instead the Forest Service</w:t>
      </w:r>
      <w:r w:rsidRPr="00BE282B">
        <w:t>:</w:t>
      </w:r>
    </w:p>
    <w:p w:rsidR="00B3413E" w:rsidRPr="00BE282B" w:rsidRDefault="00B3413E" w:rsidP="00B3413E">
      <w:pPr>
        <w:pStyle w:val="ListParagraph"/>
        <w:numPr>
          <w:ilvl w:val="0"/>
          <w:numId w:val="6"/>
        </w:numPr>
        <w:suppressAutoHyphens/>
        <w:spacing w:after="200" w:line="276" w:lineRule="auto"/>
        <w:contextualSpacing w:val="0"/>
      </w:pPr>
      <w:r>
        <w:t>Must r</w:t>
      </w:r>
      <w:r w:rsidRPr="00BE282B">
        <w:t>ecognize the cumulative nature of the GHG emissions and climate problems. It does not matter that this project is small in the global scheme because all emissions matter when the causation is global and cumulative;</w:t>
      </w:r>
    </w:p>
    <w:p w:rsidR="00B3413E" w:rsidRPr="00BE282B" w:rsidRDefault="00B3413E" w:rsidP="00B3413E">
      <w:pPr>
        <w:pStyle w:val="ListParagraph"/>
        <w:numPr>
          <w:ilvl w:val="0"/>
          <w:numId w:val="6"/>
        </w:numPr>
        <w:suppressAutoHyphens/>
        <w:spacing w:after="200" w:line="276" w:lineRule="auto"/>
        <w:contextualSpacing w:val="0"/>
      </w:pPr>
      <w:r>
        <w:t xml:space="preserve">Cannot credibly assert </w:t>
      </w:r>
      <w:r w:rsidRPr="00BE282B">
        <w:t>that this project is harmless because it’s not causing deforestation. This is immaterial. All GHG emissions, regardless of the source or how it is labelled, are part of the problem and cause the same climate impacts.</w:t>
      </w:r>
    </w:p>
    <w:p w:rsidR="00B3413E" w:rsidRPr="00BE282B" w:rsidRDefault="00B3413E" w:rsidP="00B3413E">
      <w:pPr>
        <w:pStyle w:val="ListParagraph"/>
        <w:numPr>
          <w:ilvl w:val="0"/>
          <w:numId w:val="6"/>
        </w:numPr>
        <w:suppressAutoHyphens/>
        <w:spacing w:after="200" w:line="276" w:lineRule="auto"/>
        <w:contextualSpacing w:val="0"/>
      </w:pPr>
      <w:r>
        <w:t xml:space="preserve">Cannot credibly assert </w:t>
      </w:r>
      <w:r w:rsidRPr="00BE282B">
        <w:t xml:space="preserve">that </w:t>
      </w:r>
      <w:r>
        <w:t>t</w:t>
      </w:r>
      <w:r w:rsidRPr="00BE282B">
        <w:t xml:space="preserve">hinning for forest health </w:t>
      </w:r>
      <w:r>
        <w:t xml:space="preserve">justifies or mitigates </w:t>
      </w:r>
      <w:r w:rsidRPr="00BE282B">
        <w:t xml:space="preserve">emissions </w:t>
      </w:r>
      <w:r>
        <w:t>from logging</w:t>
      </w:r>
      <w:r w:rsidRPr="00BE282B">
        <w:t>. Logging does not increase the capacity for growing trees. To the contrary, logging harms soil and reduces site productivity.</w:t>
      </w:r>
    </w:p>
    <w:p w:rsidR="00B3413E" w:rsidRPr="00BE282B" w:rsidRDefault="00B3413E" w:rsidP="00B3413E">
      <w:pPr>
        <w:pStyle w:val="ListParagraph"/>
        <w:numPr>
          <w:ilvl w:val="0"/>
          <w:numId w:val="6"/>
        </w:numPr>
        <w:suppressAutoHyphens/>
        <w:spacing w:after="200" w:line="276" w:lineRule="auto"/>
        <w:contextualSpacing w:val="0"/>
      </w:pPr>
      <w:r>
        <w:t xml:space="preserve">Must </w:t>
      </w:r>
      <w:r w:rsidRPr="00BE282B">
        <w:t xml:space="preserve">not compare carbon </w:t>
      </w:r>
      <w:r w:rsidRPr="00BE282B">
        <w:rPr>
          <w:i/>
        </w:rPr>
        <w:t>before and after</w:t>
      </w:r>
      <w:r w:rsidRPr="00BE282B">
        <w:t xml:space="preserve"> logging. That is an improper framework for NEPA analysis. The proper NEPA framework is to compare the effects of </w:t>
      </w:r>
      <w:r>
        <w:t xml:space="preserve">different </w:t>
      </w:r>
      <w:r w:rsidRPr="00BE282B">
        <w:t xml:space="preserve">alternatives </w:t>
      </w:r>
      <w:r>
        <w:t>(</w:t>
      </w:r>
      <w:r w:rsidRPr="00BE282B">
        <w:t>over time</w:t>
      </w:r>
      <w:r>
        <w:t>)</w:t>
      </w:r>
      <w:r w:rsidRPr="00BE282B">
        <w:t xml:space="preserve">, so </w:t>
      </w:r>
      <w:r>
        <w:t xml:space="preserve">the agency must </w:t>
      </w:r>
      <w:r w:rsidRPr="00BE282B">
        <w:t xml:space="preserve">describe the carbon emissions and carbon storage in the forest over time </w:t>
      </w:r>
      <w:r w:rsidRPr="00BE282B">
        <w:rPr>
          <w:i/>
        </w:rPr>
        <w:t xml:space="preserve">with </w:t>
      </w:r>
      <w:r w:rsidRPr="00F842FB">
        <w:t>logging and</w:t>
      </w:r>
      <w:r w:rsidRPr="00BE282B">
        <w:rPr>
          <w:i/>
        </w:rPr>
        <w:t xml:space="preserve"> without</w:t>
      </w:r>
      <w:r w:rsidRPr="00BE282B">
        <w:t xml:space="preserve"> logging. </w:t>
      </w:r>
    </w:p>
    <w:p w:rsidR="00B3413E" w:rsidRPr="00BE282B" w:rsidRDefault="00B3413E" w:rsidP="00B3413E">
      <w:pPr>
        <w:pStyle w:val="ListParagraph"/>
        <w:numPr>
          <w:ilvl w:val="0"/>
          <w:numId w:val="6"/>
        </w:numPr>
        <w:suppressAutoHyphens/>
        <w:spacing w:after="200" w:line="276" w:lineRule="auto"/>
        <w:contextualSpacing w:val="0"/>
      </w:pPr>
      <w:r w:rsidRPr="00BE282B">
        <w:t xml:space="preserve">Logging to reduce fire effects does not result in </w:t>
      </w:r>
      <w:r>
        <w:t xml:space="preserve">a </w:t>
      </w:r>
      <w:r w:rsidRPr="00BE282B">
        <w:t xml:space="preserve">net increase in forest carbon storage. The agency cannot predict the location, timing, or severity of future </w:t>
      </w:r>
      <w:r w:rsidRPr="00BE282B">
        <w:lastRenderedPageBreak/>
        <w:t xml:space="preserve">wildfires, so most fuel treatments will cause carbon emissions without any offsetting benefits from modified fire behavior. Studies clearly show that the total carbon emissions from logging (plus unavoidable wildfire) are greater than carbon emissions from </w:t>
      </w:r>
      <w:r>
        <w:t>wild</w:t>
      </w:r>
      <w:r w:rsidRPr="00BE282B">
        <w:t>fire alone.</w:t>
      </w:r>
    </w:p>
    <w:p w:rsidR="00E46A67" w:rsidRPr="007603DC" w:rsidRDefault="00B3413E" w:rsidP="00E46A67">
      <w:pPr>
        <w:pStyle w:val="ListParagraph"/>
        <w:numPr>
          <w:ilvl w:val="0"/>
          <w:numId w:val="6"/>
        </w:numPr>
        <w:suppressAutoHyphens/>
        <w:spacing w:after="200" w:line="276" w:lineRule="auto"/>
        <w:contextualSpacing w:val="0"/>
      </w:pPr>
      <w:r>
        <w:t xml:space="preserve">Cannot credibly assert </w:t>
      </w:r>
      <w:r w:rsidRPr="00BE282B">
        <w:t xml:space="preserve">that </w:t>
      </w:r>
      <w:r>
        <w:t>c</w:t>
      </w:r>
      <w:r w:rsidRPr="00BE282B">
        <w:t xml:space="preserve">arbon storage in wood products is a useful climate strategy. Logging kills trees, stops photosynthesis, and initiates decay and combustion, with the end result being a significant transfer of carbon from the forest to the atmosphere. In stark contrast, an unlogged forest continues to grow and transfer more carbon from the atmosphere to the forest. Carbon emissions caused by logging far exceed the small fraction of carbon transferred to wood products. Carbon accounting methods that attempt to account for </w:t>
      </w:r>
      <w:r w:rsidRPr="00BE282B">
        <w:rPr>
          <w:i/>
        </w:rPr>
        <w:t>substitution</w:t>
      </w:r>
      <w:r w:rsidRPr="00BE282B">
        <w:t xml:space="preserve"> of wood for other high-carbon building materials are fraught with uncertainty and too often represent maximum potential substitution effects rather than lower realistic estimates.</w:t>
      </w:r>
    </w:p>
    <w:p w:rsidR="00E46A67" w:rsidRPr="00E46A67" w:rsidRDefault="00E46A67" w:rsidP="00E46A67">
      <w:pPr>
        <w:rPr>
          <w:b/>
        </w:rPr>
      </w:pPr>
      <w:r w:rsidRPr="00E46A67">
        <w:rPr>
          <w:b/>
        </w:rPr>
        <w:t>Donald Trump’s Screens Amendment is unlawful (We are preserving this claim in case the final DN relies on it.)</w:t>
      </w:r>
    </w:p>
    <w:p w:rsidR="00E46A67" w:rsidRDefault="00E46A67" w:rsidP="00E46A67"/>
    <w:p w:rsidR="009B5B68" w:rsidRDefault="00925EB8" w:rsidP="009B5B68">
      <w:r w:rsidRPr="002C0043">
        <w:t xml:space="preserve">We appreciate that the </w:t>
      </w:r>
      <w:r>
        <w:t xml:space="preserve">draft DN for the Crow Project chooses to avoid logging of large trees &gt;21” dbh (except for hazard trees). </w:t>
      </w:r>
      <w:r w:rsidR="009B5B68">
        <w:t xml:space="preserve">If the </w:t>
      </w:r>
      <w:r w:rsidR="009B5B68">
        <w:t xml:space="preserve">Forest Service </w:t>
      </w:r>
      <w:r w:rsidR="009B5B68">
        <w:t xml:space="preserve">reverses course </w:t>
      </w:r>
      <w:r w:rsidR="009B5B68">
        <w:t xml:space="preserve">on this project </w:t>
      </w:r>
      <w:r w:rsidR="009B5B68">
        <w:t xml:space="preserve">and decides to select the alternative that includes large-tree logging pursuant to the Trump Screens Amendment, there must be an additional opportunity for </w:t>
      </w:r>
      <w:r w:rsidR="00663EC5">
        <w:t xml:space="preserve">public </w:t>
      </w:r>
      <w:r w:rsidR="009B5B68">
        <w:t xml:space="preserve">review and feedback prior to a final decision. In order to provide for meaningful public involvement, the agency must alert the public to the specific </w:t>
      </w:r>
      <w:r w:rsidR="009B5B68">
        <w:t xml:space="preserve">proposed </w:t>
      </w:r>
      <w:r w:rsidR="009B5B68">
        <w:t>decision. Thus, if the agency decides to include large-tree logging, the objection period must be re-opened so that the public can evaluate, and meaningfully provide input on, the manner in which the agency proposes to impleme</w:t>
      </w:r>
      <w:r w:rsidR="009B5B68">
        <w:t>nt the Trump Screens Amendment.</w:t>
      </w:r>
      <w:r w:rsidR="009B5B68">
        <w:t xml:space="preserve"> </w:t>
      </w:r>
    </w:p>
    <w:p w:rsidR="009B5B68" w:rsidRDefault="009B5B68" w:rsidP="009B5B68"/>
    <w:p w:rsidR="009B5B68" w:rsidRDefault="009B5B68" w:rsidP="009B5B68">
      <w:r>
        <w:t>The draft DN for the Crow Project recognizes</w:t>
      </w:r>
      <w:r w:rsidRPr="002C0043">
        <w:t xml:space="preserve"> that its new</w:t>
      </w:r>
      <w:r>
        <w:t>ly adopted</w:t>
      </w:r>
      <w:r w:rsidRPr="002C0043">
        <w:t xml:space="preserve"> guideline regarding large tree </w:t>
      </w:r>
      <w:r>
        <w:t xml:space="preserve">removal may be </w:t>
      </w:r>
      <w:r w:rsidRPr="002C0043">
        <w:t xml:space="preserve">legally vulnerable. </w:t>
      </w:r>
      <w:r>
        <w:t>We agree that t</w:t>
      </w:r>
      <w:r w:rsidRPr="002C0043">
        <w:t>he plan amendment is unlawful</w:t>
      </w:r>
      <w:r>
        <w:t xml:space="preserve"> </w:t>
      </w:r>
      <w:r>
        <w:t>because it:</w:t>
      </w:r>
    </w:p>
    <w:p w:rsidR="009B5B68" w:rsidRDefault="009B5B68" w:rsidP="009B5B68"/>
    <w:p w:rsidR="009B5B68" w:rsidRDefault="009B5B68" w:rsidP="00663EC5">
      <w:pPr>
        <w:ind w:left="360"/>
      </w:pPr>
      <w:r>
        <w:t>~Violates NEPA, including by failing to (1) comply with requirements for public participation, (2) prepare an EIS, (3) consider a reasonable range of alternatives, and (4) disclose and consider direct, indirect, and cumulative impacts.</w:t>
      </w:r>
    </w:p>
    <w:p w:rsidR="009B5B68" w:rsidRDefault="009B5B68" w:rsidP="00663EC5">
      <w:pPr>
        <w:ind w:left="360"/>
      </w:pPr>
    </w:p>
    <w:p w:rsidR="009B5B68" w:rsidRDefault="009B5B68" w:rsidP="00663EC5">
      <w:pPr>
        <w:ind w:left="360"/>
      </w:pPr>
      <w:r>
        <w:t>~Violates the procedural and substantive requirements of NFMA</w:t>
      </w:r>
      <w:r>
        <w:t xml:space="preserve"> and its implementing regulations.</w:t>
      </w:r>
    </w:p>
    <w:p w:rsidR="009B5B68" w:rsidRDefault="009B5B68" w:rsidP="00663EC5">
      <w:pPr>
        <w:ind w:left="360"/>
      </w:pPr>
    </w:p>
    <w:p w:rsidR="009B5B68" w:rsidRDefault="009B5B68" w:rsidP="00663EC5">
      <w:pPr>
        <w:ind w:left="360"/>
      </w:pPr>
      <w:r>
        <w:t>~Violates the procedural and substantive requirements of the ESA.</w:t>
      </w:r>
    </w:p>
    <w:p w:rsidR="009B5B68" w:rsidRDefault="009B5B68" w:rsidP="00663EC5">
      <w:pPr>
        <w:ind w:left="360"/>
      </w:pPr>
    </w:p>
    <w:p w:rsidR="009B5B68" w:rsidRDefault="009B5B68" w:rsidP="00663EC5">
      <w:pPr>
        <w:ind w:left="360"/>
      </w:pPr>
      <w:r>
        <w:t>~</w:t>
      </w:r>
      <w:r>
        <w:t>Violates the public involvement requirements related to the objection process.</w:t>
      </w:r>
    </w:p>
    <w:p w:rsidR="00CD1F42" w:rsidRDefault="00CD1F42" w:rsidP="00CD1F42"/>
    <w:p w:rsidR="0063234A" w:rsidRDefault="00CD1F42" w:rsidP="00CD1F42">
      <w:r>
        <w:lastRenderedPageBreak/>
        <w:t xml:space="preserve">We incorporate by reference our scoping comments and comments on the </w:t>
      </w:r>
      <w:r w:rsidR="00930727">
        <w:t xml:space="preserve">Large Tree Amendment </w:t>
      </w:r>
      <w:bookmarkStart w:id="2" w:name="_GoBack"/>
      <w:bookmarkEnd w:id="2"/>
      <w:r>
        <w:t xml:space="preserve">EA and preserve all legal claims related to </w:t>
      </w:r>
      <w:r w:rsidR="003D6FFC">
        <w:t xml:space="preserve">the </w:t>
      </w:r>
      <w:r>
        <w:t xml:space="preserve">issues </w:t>
      </w:r>
      <w:r w:rsidR="003D6FFC">
        <w:t xml:space="preserve">raised </w:t>
      </w:r>
      <w:r>
        <w:t>in our NEPA comments.</w:t>
      </w:r>
      <w:r w:rsidR="0063234A">
        <w:t xml:space="preserve"> </w:t>
      </w:r>
    </w:p>
    <w:p w:rsidR="000C4474" w:rsidRDefault="000C4474" w:rsidP="000C4474"/>
    <w:p w:rsidR="000C4474" w:rsidRDefault="000C4474" w:rsidP="000C4474">
      <w:pPr>
        <w:spacing w:before="100" w:beforeAutospacing="1" w:after="100" w:afterAutospacing="1"/>
      </w:pPr>
      <w:r w:rsidRPr="002B52B0">
        <w:t>Sincerely,</w:t>
      </w:r>
    </w:p>
    <w:p w:rsidR="000C4474" w:rsidRDefault="00E10A05" w:rsidP="000C4474">
      <w:pPr>
        <w:spacing w:before="100" w:beforeAutospacing="1" w:after="100" w:afterAutospacing="1"/>
      </w:pPr>
      <w:r>
        <w:rPr>
          <w:noProof/>
        </w:rPr>
        <w:drawing>
          <wp:inline distT="0" distB="0" distL="0" distR="0">
            <wp:extent cx="1546860" cy="502920"/>
            <wp:effectExtent l="0" t="0" r="0" b="0"/>
            <wp:docPr id="2" name="Picture 2"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gSigna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rsidR="000C4474" w:rsidRPr="002B52B0" w:rsidRDefault="000C4474" w:rsidP="000C4474">
      <w:pPr>
        <w:spacing w:before="100" w:beforeAutospacing="1" w:after="100" w:afterAutospacing="1"/>
      </w:pPr>
      <w:r w:rsidRPr="002B52B0">
        <w:t>Doug Heiken</w:t>
      </w:r>
    </w:p>
    <w:p w:rsidR="0009228F" w:rsidRPr="0053180D" w:rsidRDefault="0009228F" w:rsidP="000C4474"/>
    <w:sectPr w:rsidR="0009228F" w:rsidRPr="0053180D" w:rsidSect="00772A6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7F" w:rsidRDefault="006B177F">
      <w:r>
        <w:separator/>
      </w:r>
    </w:p>
  </w:endnote>
  <w:endnote w:type="continuationSeparator" w:id="0">
    <w:p w:rsidR="006B177F" w:rsidRDefault="006B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z-fixed">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BE" w:rsidRPr="006C4D02" w:rsidRDefault="004A6BBE">
    <w:pPr>
      <w:pStyle w:val="Footer"/>
      <w:rPr>
        <w:sz w:val="20"/>
        <w:szCs w:val="20"/>
      </w:rPr>
    </w:pPr>
    <w:r w:rsidRPr="006C4D02">
      <w:rPr>
        <w:sz w:val="20"/>
        <w:szCs w:val="20"/>
      </w:rPr>
      <w:tab/>
    </w:r>
    <w:r w:rsidRPr="006C4D02">
      <w:rPr>
        <w:sz w:val="20"/>
        <w:szCs w:val="20"/>
      </w:rPr>
      <w:tab/>
      <w:t xml:space="preserve">Page </w:t>
    </w:r>
    <w:r w:rsidRPr="006C4D02">
      <w:rPr>
        <w:rStyle w:val="PageNumber"/>
        <w:sz w:val="20"/>
        <w:szCs w:val="20"/>
      </w:rPr>
      <w:fldChar w:fldCharType="begin"/>
    </w:r>
    <w:r w:rsidRPr="006C4D02">
      <w:rPr>
        <w:rStyle w:val="PageNumber"/>
        <w:sz w:val="20"/>
        <w:szCs w:val="20"/>
      </w:rPr>
      <w:instrText xml:space="preserve"> PAGE </w:instrText>
    </w:r>
    <w:r w:rsidRPr="006C4D02">
      <w:rPr>
        <w:rStyle w:val="PageNumber"/>
        <w:sz w:val="20"/>
        <w:szCs w:val="20"/>
      </w:rPr>
      <w:fldChar w:fldCharType="separate"/>
    </w:r>
    <w:r w:rsidR="00930727">
      <w:rPr>
        <w:rStyle w:val="PageNumber"/>
        <w:noProof/>
        <w:sz w:val="20"/>
        <w:szCs w:val="20"/>
      </w:rPr>
      <w:t>23</w:t>
    </w:r>
    <w:r w:rsidRPr="006C4D0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7F" w:rsidRDefault="006B177F">
      <w:r>
        <w:separator/>
      </w:r>
    </w:p>
  </w:footnote>
  <w:footnote w:type="continuationSeparator" w:id="0">
    <w:p w:rsidR="006B177F" w:rsidRDefault="006B1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56E"/>
    <w:multiLevelType w:val="hybridMultilevel"/>
    <w:tmpl w:val="4C584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576F8"/>
    <w:multiLevelType w:val="hybridMultilevel"/>
    <w:tmpl w:val="B00A094A"/>
    <w:lvl w:ilvl="0" w:tplc="99920BEA">
      <w:start w:val="801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CB41051"/>
    <w:multiLevelType w:val="singleLevel"/>
    <w:tmpl w:val="0409000F"/>
    <w:lvl w:ilvl="0">
      <w:start w:val="1"/>
      <w:numFmt w:val="decimal"/>
      <w:lvlText w:val="%1."/>
      <w:lvlJc w:val="left"/>
      <w:pPr>
        <w:tabs>
          <w:tab w:val="num" w:pos="360"/>
        </w:tabs>
        <w:ind w:left="360" w:hanging="360"/>
      </w:pPr>
    </w:lvl>
  </w:abstractNum>
  <w:abstractNum w:abstractNumId="3">
    <w:nsid w:val="241A2738"/>
    <w:multiLevelType w:val="hybridMultilevel"/>
    <w:tmpl w:val="A9F0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24294"/>
    <w:multiLevelType w:val="hybridMultilevel"/>
    <w:tmpl w:val="F7B2F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3F25B5D"/>
    <w:multiLevelType w:val="hybridMultilevel"/>
    <w:tmpl w:val="9E5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85C97"/>
    <w:multiLevelType w:val="hybridMultilevel"/>
    <w:tmpl w:val="B68A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3B66A3"/>
    <w:multiLevelType w:val="hybridMultilevel"/>
    <w:tmpl w:val="51104396"/>
    <w:lvl w:ilvl="0" w:tplc="99920BEA">
      <w:start w:val="8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9A"/>
    <w:rsid w:val="00005023"/>
    <w:rsid w:val="00007F67"/>
    <w:rsid w:val="00023880"/>
    <w:rsid w:val="00034114"/>
    <w:rsid w:val="00054DE1"/>
    <w:rsid w:val="0009228F"/>
    <w:rsid w:val="000B631B"/>
    <w:rsid w:val="000C4474"/>
    <w:rsid w:val="0012291C"/>
    <w:rsid w:val="001261C5"/>
    <w:rsid w:val="001462C5"/>
    <w:rsid w:val="00157089"/>
    <w:rsid w:val="00186393"/>
    <w:rsid w:val="001C579A"/>
    <w:rsid w:val="001F0F5C"/>
    <w:rsid w:val="002120E1"/>
    <w:rsid w:val="002137BE"/>
    <w:rsid w:val="002C0043"/>
    <w:rsid w:val="002E0B06"/>
    <w:rsid w:val="00310AE3"/>
    <w:rsid w:val="00363BEB"/>
    <w:rsid w:val="003A354B"/>
    <w:rsid w:val="003A7354"/>
    <w:rsid w:val="003D6FFC"/>
    <w:rsid w:val="00476CBA"/>
    <w:rsid w:val="004A6BBE"/>
    <w:rsid w:val="004E2D33"/>
    <w:rsid w:val="0053180D"/>
    <w:rsid w:val="005600C5"/>
    <w:rsid w:val="00562726"/>
    <w:rsid w:val="005B36D5"/>
    <w:rsid w:val="005C768F"/>
    <w:rsid w:val="005F1639"/>
    <w:rsid w:val="0063234A"/>
    <w:rsid w:val="00663EC5"/>
    <w:rsid w:val="00666492"/>
    <w:rsid w:val="006A48AD"/>
    <w:rsid w:val="006B177F"/>
    <w:rsid w:val="006B3187"/>
    <w:rsid w:val="006B6CCD"/>
    <w:rsid w:val="006C1087"/>
    <w:rsid w:val="006C4D02"/>
    <w:rsid w:val="00703A83"/>
    <w:rsid w:val="007603DC"/>
    <w:rsid w:val="00772A6D"/>
    <w:rsid w:val="00791EEE"/>
    <w:rsid w:val="007A5AC1"/>
    <w:rsid w:val="007D2700"/>
    <w:rsid w:val="007F532B"/>
    <w:rsid w:val="00892441"/>
    <w:rsid w:val="008A5282"/>
    <w:rsid w:val="008C35DF"/>
    <w:rsid w:val="00925EB8"/>
    <w:rsid w:val="009272FE"/>
    <w:rsid w:val="00930727"/>
    <w:rsid w:val="00935267"/>
    <w:rsid w:val="00950153"/>
    <w:rsid w:val="009770CB"/>
    <w:rsid w:val="009815E7"/>
    <w:rsid w:val="009B5B68"/>
    <w:rsid w:val="009C3358"/>
    <w:rsid w:val="00A214F7"/>
    <w:rsid w:val="00A37B08"/>
    <w:rsid w:val="00A41538"/>
    <w:rsid w:val="00AA72C9"/>
    <w:rsid w:val="00B3413E"/>
    <w:rsid w:val="00B36CA0"/>
    <w:rsid w:val="00BA670C"/>
    <w:rsid w:val="00C447CA"/>
    <w:rsid w:val="00C73070"/>
    <w:rsid w:val="00C957D1"/>
    <w:rsid w:val="00CB4DA7"/>
    <w:rsid w:val="00CB703B"/>
    <w:rsid w:val="00CC02CA"/>
    <w:rsid w:val="00CC176B"/>
    <w:rsid w:val="00CD1F42"/>
    <w:rsid w:val="00CD23A8"/>
    <w:rsid w:val="00CE0598"/>
    <w:rsid w:val="00CE6A2E"/>
    <w:rsid w:val="00D25D4C"/>
    <w:rsid w:val="00D42DE4"/>
    <w:rsid w:val="00D47C94"/>
    <w:rsid w:val="00D64C11"/>
    <w:rsid w:val="00D70E36"/>
    <w:rsid w:val="00DB6EB0"/>
    <w:rsid w:val="00E014C9"/>
    <w:rsid w:val="00E10A05"/>
    <w:rsid w:val="00E122B0"/>
    <w:rsid w:val="00E3789B"/>
    <w:rsid w:val="00E46A67"/>
    <w:rsid w:val="00E6005A"/>
    <w:rsid w:val="00E66644"/>
    <w:rsid w:val="00E806D5"/>
    <w:rsid w:val="00F30D9A"/>
    <w:rsid w:val="00F6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72A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341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67"/>
    <w:rPr>
      <w:color w:val="0000FF"/>
      <w:u w:val="single"/>
    </w:rPr>
  </w:style>
  <w:style w:type="paragraph" w:styleId="Date">
    <w:name w:val="Date"/>
    <w:basedOn w:val="Normal"/>
    <w:next w:val="Normal"/>
    <w:rsid w:val="00772A6D"/>
  </w:style>
  <w:style w:type="paragraph" w:styleId="Header">
    <w:name w:val="header"/>
    <w:basedOn w:val="Normal"/>
    <w:rsid w:val="006C4D02"/>
    <w:pPr>
      <w:tabs>
        <w:tab w:val="center" w:pos="4320"/>
        <w:tab w:val="right" w:pos="8640"/>
      </w:tabs>
    </w:pPr>
  </w:style>
  <w:style w:type="paragraph" w:styleId="Footer">
    <w:name w:val="footer"/>
    <w:basedOn w:val="Normal"/>
    <w:rsid w:val="006C4D02"/>
    <w:pPr>
      <w:tabs>
        <w:tab w:val="center" w:pos="4320"/>
        <w:tab w:val="right" w:pos="8640"/>
      </w:tabs>
    </w:pPr>
  </w:style>
  <w:style w:type="character" w:styleId="PageNumber">
    <w:name w:val="page number"/>
    <w:basedOn w:val="DefaultParagraphFont"/>
    <w:rsid w:val="006C4D02"/>
  </w:style>
  <w:style w:type="character" w:customStyle="1" w:styleId="updatebodytest">
    <w:name w:val="updatebodytest"/>
    <w:basedOn w:val="DefaultParagraphFont"/>
    <w:rsid w:val="00D42DE4"/>
  </w:style>
  <w:style w:type="paragraph" w:styleId="BalloonText">
    <w:name w:val="Balloon Text"/>
    <w:basedOn w:val="Normal"/>
    <w:link w:val="BalloonTextChar"/>
    <w:rsid w:val="00CE6A2E"/>
    <w:rPr>
      <w:rFonts w:ascii="Tahoma" w:hAnsi="Tahoma" w:cs="Tahoma"/>
      <w:sz w:val="16"/>
      <w:szCs w:val="16"/>
    </w:rPr>
  </w:style>
  <w:style w:type="character" w:customStyle="1" w:styleId="BalloonTextChar">
    <w:name w:val="Balloon Text Char"/>
    <w:basedOn w:val="DefaultParagraphFont"/>
    <w:link w:val="BalloonText"/>
    <w:rsid w:val="00CE6A2E"/>
    <w:rPr>
      <w:rFonts w:ascii="Tahoma" w:hAnsi="Tahoma" w:cs="Tahoma"/>
      <w:sz w:val="16"/>
      <w:szCs w:val="16"/>
    </w:rPr>
  </w:style>
  <w:style w:type="paragraph" w:styleId="ListParagraph">
    <w:name w:val="List Paragraph"/>
    <w:basedOn w:val="Normal"/>
    <w:uiPriority w:val="34"/>
    <w:qFormat/>
    <w:rsid w:val="009272FE"/>
    <w:pPr>
      <w:ind w:left="720"/>
      <w:contextualSpacing/>
    </w:pPr>
  </w:style>
  <w:style w:type="paragraph" w:styleId="NormalWeb">
    <w:name w:val="Normal (Web)"/>
    <w:basedOn w:val="Normal"/>
    <w:uiPriority w:val="99"/>
    <w:rsid w:val="008A5282"/>
    <w:pPr>
      <w:suppressAutoHyphens/>
      <w:spacing w:before="100" w:after="100"/>
    </w:pPr>
    <w:rPr>
      <w:rFonts w:ascii="-moz-fixed" w:eastAsia="-moz-fixed" w:hAnsi="-moz-fixed" w:cs="-moz-fixed"/>
      <w:lang w:eastAsia="ar-SA"/>
    </w:rPr>
  </w:style>
  <w:style w:type="paragraph" w:styleId="CommentText">
    <w:name w:val="annotation text"/>
    <w:basedOn w:val="Normal"/>
    <w:link w:val="CommentTextChar"/>
    <w:rsid w:val="008A5282"/>
    <w:pPr>
      <w:suppressAutoHyphens/>
    </w:pPr>
    <w:rPr>
      <w:rFonts w:ascii="-moz-fixed" w:eastAsia="-moz-fixed" w:hAnsi="-moz-fixed" w:cs="-moz-fixed"/>
      <w:sz w:val="20"/>
      <w:szCs w:val="20"/>
      <w:lang w:eastAsia="ar-SA"/>
    </w:rPr>
  </w:style>
  <w:style w:type="character" w:customStyle="1" w:styleId="CommentTextChar">
    <w:name w:val="Comment Text Char"/>
    <w:basedOn w:val="DefaultParagraphFont"/>
    <w:link w:val="CommentText"/>
    <w:rsid w:val="008A5282"/>
    <w:rPr>
      <w:rFonts w:ascii="-moz-fixed" w:eastAsia="-moz-fixed" w:hAnsi="-moz-fixed" w:cs="-moz-fixed"/>
      <w:lang w:eastAsia="ar-SA"/>
    </w:rPr>
  </w:style>
  <w:style w:type="paragraph" w:styleId="Caption">
    <w:name w:val="caption"/>
    <w:basedOn w:val="Normal"/>
    <w:next w:val="Normal"/>
    <w:qFormat/>
    <w:rsid w:val="00935267"/>
    <w:pPr>
      <w:suppressAutoHyphens/>
      <w:spacing w:before="120" w:after="120"/>
    </w:pPr>
    <w:rPr>
      <w:rFonts w:ascii="New York" w:eastAsia="-moz-fixed" w:hAnsi="New York" w:cs="New York"/>
      <w:b/>
      <w:bCs/>
      <w:sz w:val="20"/>
      <w:szCs w:val="20"/>
      <w:lang w:eastAsia="ar-SA"/>
    </w:rPr>
  </w:style>
  <w:style w:type="paragraph" w:styleId="BodyText">
    <w:name w:val="Body Text"/>
    <w:basedOn w:val="Normal"/>
    <w:link w:val="BodyTextChar"/>
    <w:rsid w:val="001C579A"/>
    <w:pPr>
      <w:suppressAutoHyphens/>
    </w:pPr>
    <w:rPr>
      <w:rFonts w:ascii="-moz-fixed" w:eastAsia="-moz-fixed" w:hAnsi="-moz-fixed" w:cs="-moz-fixed"/>
      <w:szCs w:val="20"/>
      <w:lang w:eastAsia="ar-SA"/>
    </w:rPr>
  </w:style>
  <w:style w:type="character" w:customStyle="1" w:styleId="BodyTextChar">
    <w:name w:val="Body Text Char"/>
    <w:basedOn w:val="DefaultParagraphFont"/>
    <w:link w:val="BodyText"/>
    <w:rsid w:val="001C579A"/>
    <w:rPr>
      <w:rFonts w:ascii="-moz-fixed" w:eastAsia="-moz-fixed" w:hAnsi="-moz-fixed" w:cs="-moz-fixed"/>
      <w:sz w:val="24"/>
      <w:lang w:eastAsia="ar-SA"/>
    </w:rPr>
  </w:style>
  <w:style w:type="character" w:customStyle="1" w:styleId="Heading2Char">
    <w:name w:val="Heading 2 Char"/>
    <w:basedOn w:val="DefaultParagraphFont"/>
    <w:link w:val="Heading2"/>
    <w:semiHidden/>
    <w:rsid w:val="00B341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72A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341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67"/>
    <w:rPr>
      <w:color w:val="0000FF"/>
      <w:u w:val="single"/>
    </w:rPr>
  </w:style>
  <w:style w:type="paragraph" w:styleId="Date">
    <w:name w:val="Date"/>
    <w:basedOn w:val="Normal"/>
    <w:next w:val="Normal"/>
    <w:rsid w:val="00772A6D"/>
  </w:style>
  <w:style w:type="paragraph" w:styleId="Header">
    <w:name w:val="header"/>
    <w:basedOn w:val="Normal"/>
    <w:rsid w:val="006C4D02"/>
    <w:pPr>
      <w:tabs>
        <w:tab w:val="center" w:pos="4320"/>
        <w:tab w:val="right" w:pos="8640"/>
      </w:tabs>
    </w:pPr>
  </w:style>
  <w:style w:type="paragraph" w:styleId="Footer">
    <w:name w:val="footer"/>
    <w:basedOn w:val="Normal"/>
    <w:rsid w:val="006C4D02"/>
    <w:pPr>
      <w:tabs>
        <w:tab w:val="center" w:pos="4320"/>
        <w:tab w:val="right" w:pos="8640"/>
      </w:tabs>
    </w:pPr>
  </w:style>
  <w:style w:type="character" w:styleId="PageNumber">
    <w:name w:val="page number"/>
    <w:basedOn w:val="DefaultParagraphFont"/>
    <w:rsid w:val="006C4D02"/>
  </w:style>
  <w:style w:type="character" w:customStyle="1" w:styleId="updatebodytest">
    <w:name w:val="updatebodytest"/>
    <w:basedOn w:val="DefaultParagraphFont"/>
    <w:rsid w:val="00D42DE4"/>
  </w:style>
  <w:style w:type="paragraph" w:styleId="BalloonText">
    <w:name w:val="Balloon Text"/>
    <w:basedOn w:val="Normal"/>
    <w:link w:val="BalloonTextChar"/>
    <w:rsid w:val="00CE6A2E"/>
    <w:rPr>
      <w:rFonts w:ascii="Tahoma" w:hAnsi="Tahoma" w:cs="Tahoma"/>
      <w:sz w:val="16"/>
      <w:szCs w:val="16"/>
    </w:rPr>
  </w:style>
  <w:style w:type="character" w:customStyle="1" w:styleId="BalloonTextChar">
    <w:name w:val="Balloon Text Char"/>
    <w:basedOn w:val="DefaultParagraphFont"/>
    <w:link w:val="BalloonText"/>
    <w:rsid w:val="00CE6A2E"/>
    <w:rPr>
      <w:rFonts w:ascii="Tahoma" w:hAnsi="Tahoma" w:cs="Tahoma"/>
      <w:sz w:val="16"/>
      <w:szCs w:val="16"/>
    </w:rPr>
  </w:style>
  <w:style w:type="paragraph" w:styleId="ListParagraph">
    <w:name w:val="List Paragraph"/>
    <w:basedOn w:val="Normal"/>
    <w:uiPriority w:val="34"/>
    <w:qFormat/>
    <w:rsid w:val="009272FE"/>
    <w:pPr>
      <w:ind w:left="720"/>
      <w:contextualSpacing/>
    </w:pPr>
  </w:style>
  <w:style w:type="paragraph" w:styleId="NormalWeb">
    <w:name w:val="Normal (Web)"/>
    <w:basedOn w:val="Normal"/>
    <w:uiPriority w:val="99"/>
    <w:rsid w:val="008A5282"/>
    <w:pPr>
      <w:suppressAutoHyphens/>
      <w:spacing w:before="100" w:after="100"/>
    </w:pPr>
    <w:rPr>
      <w:rFonts w:ascii="-moz-fixed" w:eastAsia="-moz-fixed" w:hAnsi="-moz-fixed" w:cs="-moz-fixed"/>
      <w:lang w:eastAsia="ar-SA"/>
    </w:rPr>
  </w:style>
  <w:style w:type="paragraph" w:styleId="CommentText">
    <w:name w:val="annotation text"/>
    <w:basedOn w:val="Normal"/>
    <w:link w:val="CommentTextChar"/>
    <w:rsid w:val="008A5282"/>
    <w:pPr>
      <w:suppressAutoHyphens/>
    </w:pPr>
    <w:rPr>
      <w:rFonts w:ascii="-moz-fixed" w:eastAsia="-moz-fixed" w:hAnsi="-moz-fixed" w:cs="-moz-fixed"/>
      <w:sz w:val="20"/>
      <w:szCs w:val="20"/>
      <w:lang w:eastAsia="ar-SA"/>
    </w:rPr>
  </w:style>
  <w:style w:type="character" w:customStyle="1" w:styleId="CommentTextChar">
    <w:name w:val="Comment Text Char"/>
    <w:basedOn w:val="DefaultParagraphFont"/>
    <w:link w:val="CommentText"/>
    <w:rsid w:val="008A5282"/>
    <w:rPr>
      <w:rFonts w:ascii="-moz-fixed" w:eastAsia="-moz-fixed" w:hAnsi="-moz-fixed" w:cs="-moz-fixed"/>
      <w:lang w:eastAsia="ar-SA"/>
    </w:rPr>
  </w:style>
  <w:style w:type="paragraph" w:styleId="Caption">
    <w:name w:val="caption"/>
    <w:basedOn w:val="Normal"/>
    <w:next w:val="Normal"/>
    <w:qFormat/>
    <w:rsid w:val="00935267"/>
    <w:pPr>
      <w:suppressAutoHyphens/>
      <w:spacing w:before="120" w:after="120"/>
    </w:pPr>
    <w:rPr>
      <w:rFonts w:ascii="New York" w:eastAsia="-moz-fixed" w:hAnsi="New York" w:cs="New York"/>
      <w:b/>
      <w:bCs/>
      <w:sz w:val="20"/>
      <w:szCs w:val="20"/>
      <w:lang w:eastAsia="ar-SA"/>
    </w:rPr>
  </w:style>
  <w:style w:type="paragraph" w:styleId="BodyText">
    <w:name w:val="Body Text"/>
    <w:basedOn w:val="Normal"/>
    <w:link w:val="BodyTextChar"/>
    <w:rsid w:val="001C579A"/>
    <w:pPr>
      <w:suppressAutoHyphens/>
    </w:pPr>
    <w:rPr>
      <w:rFonts w:ascii="-moz-fixed" w:eastAsia="-moz-fixed" w:hAnsi="-moz-fixed" w:cs="-moz-fixed"/>
      <w:szCs w:val="20"/>
      <w:lang w:eastAsia="ar-SA"/>
    </w:rPr>
  </w:style>
  <w:style w:type="character" w:customStyle="1" w:styleId="BodyTextChar">
    <w:name w:val="Body Text Char"/>
    <w:basedOn w:val="DefaultParagraphFont"/>
    <w:link w:val="BodyText"/>
    <w:rsid w:val="001C579A"/>
    <w:rPr>
      <w:rFonts w:ascii="-moz-fixed" w:eastAsia="-moz-fixed" w:hAnsi="-moz-fixed" w:cs="-moz-fixed"/>
      <w:sz w:val="24"/>
      <w:lang w:eastAsia="ar-SA"/>
    </w:rPr>
  </w:style>
  <w:style w:type="character" w:customStyle="1" w:styleId="Heading2Char">
    <w:name w:val="Heading 2 Char"/>
    <w:basedOn w:val="DefaultParagraphFont"/>
    <w:link w:val="Heading2"/>
    <w:semiHidden/>
    <w:rsid w:val="00B341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20906">
      <w:bodyDiv w:val="1"/>
      <w:marLeft w:val="0"/>
      <w:marRight w:val="0"/>
      <w:marTop w:val="0"/>
      <w:marBottom w:val="0"/>
      <w:divBdr>
        <w:top w:val="none" w:sz="0" w:space="0" w:color="auto"/>
        <w:left w:val="none" w:sz="0" w:space="0" w:color="auto"/>
        <w:bottom w:val="none" w:sz="0" w:space="0" w:color="auto"/>
        <w:right w:val="none" w:sz="0" w:space="0" w:color="auto"/>
      </w:divBdr>
    </w:div>
    <w:div w:id="1388339026">
      <w:bodyDiv w:val="1"/>
      <w:marLeft w:val="0"/>
      <w:marRight w:val="0"/>
      <w:marTop w:val="0"/>
      <w:marBottom w:val="0"/>
      <w:divBdr>
        <w:top w:val="none" w:sz="0" w:space="0" w:color="auto"/>
        <w:left w:val="none" w:sz="0" w:space="0" w:color="auto"/>
        <w:bottom w:val="none" w:sz="0" w:space="0" w:color="auto"/>
        <w:right w:val="none" w:sz="0" w:space="0" w:color="auto"/>
      </w:divBdr>
      <w:divsChild>
        <w:div w:id="1401368245">
          <w:marLeft w:val="0"/>
          <w:marRight w:val="0"/>
          <w:marTop w:val="0"/>
          <w:marBottom w:val="0"/>
          <w:divBdr>
            <w:top w:val="none" w:sz="0" w:space="0" w:color="auto"/>
            <w:left w:val="none" w:sz="0" w:space="0" w:color="auto"/>
            <w:bottom w:val="none" w:sz="0" w:space="0" w:color="auto"/>
            <w:right w:val="none" w:sz="0" w:space="0" w:color="auto"/>
          </w:divBdr>
        </w:div>
        <w:div w:id="2014647271">
          <w:marLeft w:val="0"/>
          <w:marRight w:val="0"/>
          <w:marTop w:val="0"/>
          <w:marBottom w:val="0"/>
          <w:divBdr>
            <w:top w:val="none" w:sz="0" w:space="0" w:color="auto"/>
            <w:left w:val="none" w:sz="0" w:space="0" w:color="auto"/>
            <w:bottom w:val="none" w:sz="0" w:space="0" w:color="auto"/>
            <w:right w:val="none" w:sz="0" w:space="0" w:color="auto"/>
          </w:divBdr>
        </w:div>
        <w:div w:id="323432243">
          <w:marLeft w:val="0"/>
          <w:marRight w:val="0"/>
          <w:marTop w:val="0"/>
          <w:marBottom w:val="0"/>
          <w:divBdr>
            <w:top w:val="none" w:sz="0" w:space="0" w:color="auto"/>
            <w:left w:val="none" w:sz="0" w:space="0" w:color="auto"/>
            <w:bottom w:val="none" w:sz="0" w:space="0" w:color="auto"/>
            <w:right w:val="none" w:sz="0" w:space="0" w:color="auto"/>
          </w:divBdr>
        </w:div>
        <w:div w:id="135365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penjurist.org/341/f3d/961/citizens-for-better-forestry" TargetMode="External"/><Relationship Id="rId18" Type="http://schemas.openxmlformats.org/officeDocument/2006/relationships/hyperlink" Target="https://web.archive.org/web/20130330181038/http://www.cfc.umt.edu/ForestEcology/files/ICO_Manager_Guide.pdf" TargetMode="External"/><Relationship Id="rId26" Type="http://schemas.openxmlformats.org/officeDocument/2006/relationships/hyperlink" Target="http://web.archive.org/web/20030111060230/http://www.fs.fed.us/forum/nepa/decisionm/p4.html" TargetMode="External"/><Relationship Id="rId3" Type="http://schemas.microsoft.com/office/2007/relationships/stylesWithEffects" Target="stylesWithEffects.xml"/><Relationship Id="rId21" Type="http://schemas.openxmlformats.org/officeDocument/2006/relationships/hyperlink" Target="https://www.fs.fed.us/pnw/pubs/pnw_gtr956.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bjections-pnw-malheur@usda.gov" TargetMode="External"/><Relationship Id="rId17" Type="http://schemas.openxmlformats.org/officeDocument/2006/relationships/hyperlink" Target="http://www.pnas.org/cgi/doi/10.1073/pnas.1700032114" TargetMode="External"/><Relationship Id="rId25" Type="http://schemas.openxmlformats.org/officeDocument/2006/relationships/hyperlink" Target="https://www.frontiersin.org/articles/10.3389/fpls.2019.01459/full"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sciencedaily.com/releases/2019/06/190618174358.htm" TargetMode="External"/><Relationship Id="rId20" Type="http://schemas.openxmlformats.org/officeDocument/2006/relationships/image" Target="media/image2.jpeg"/><Relationship Id="rId29" Type="http://schemas.openxmlformats.org/officeDocument/2006/relationships/hyperlink" Target="http://web.archive.org/web/20041105214752/http://www.onrc.org/press/ONRCv.USF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89/fpls.2019.01459" TargetMode="External"/><Relationship Id="rId32" Type="http://schemas.openxmlformats.org/officeDocument/2006/relationships/hyperlink" Target="https://harvardforest.fas.harvard.edu/sites/default/files/Sims_et_al-2019-Conservation_Biology.pdf" TargetMode="External"/><Relationship Id="rId5" Type="http://schemas.openxmlformats.org/officeDocument/2006/relationships/webSettings" Target="webSettings.xml"/><Relationship Id="rId15" Type="http://schemas.openxmlformats.org/officeDocument/2006/relationships/hyperlink" Target="http://nature.ly/dryforests" TargetMode="External"/><Relationship Id="rId23" Type="http://schemas.openxmlformats.org/officeDocument/2006/relationships/hyperlink" Target="http://e360.yale.edu/content/feature.msp?id=2944" TargetMode="External"/><Relationship Id="rId28" Type="http://schemas.openxmlformats.org/officeDocument/2006/relationships/hyperlink" Target="http://web.archive.org/web/20090118192937/http://www.fs.fed.us/im/directives/fsh/1909.15/1909.15_40.doc" TargetMode="External"/><Relationship Id="rId10" Type="http://schemas.openxmlformats.org/officeDocument/2006/relationships/hyperlink" Target="http://www.oregonwild.org/" TargetMode="External"/><Relationship Id="rId19" Type="http://schemas.openxmlformats.org/officeDocument/2006/relationships/hyperlink" Target="http://www.fs.usda.gov/Internet/FSE_DOCUMENTS/stelprdb5428873.pdf" TargetMode="External"/><Relationship Id="rId31" Type="http://schemas.openxmlformats.org/officeDocument/2006/relationships/hyperlink" Target="https://doi.org/10.1111/cobi.13318" TargetMode="External"/><Relationship Id="rId4" Type="http://schemas.openxmlformats.org/officeDocument/2006/relationships/settings" Target="settings.xml"/><Relationship Id="rId9" Type="http://schemas.openxmlformats.org/officeDocument/2006/relationships/hyperlink" Target="mailto:dh@oregonwild.org" TargetMode="External"/><Relationship Id="rId14" Type="http://schemas.openxmlformats.org/officeDocument/2006/relationships/hyperlink" Target="http://fate.nmfs.noaa.gov/documents/Publications/Black_et_al_2008_Ecoscience.pdf" TargetMode="External"/><Relationship Id="rId22" Type="http://schemas.openxmlformats.org/officeDocument/2006/relationships/hyperlink" Target="https://www.pnas.org/content/early/2020/03/24/1917521117" TargetMode="External"/><Relationship Id="rId27" Type="http://schemas.openxmlformats.org/officeDocument/2006/relationships/hyperlink" Target="http://web.archive.org/web/20060829000705/http://www.fs.fed.us/emc/nfma/includes/overview.pdf" TargetMode="External"/><Relationship Id="rId30" Type="http://schemas.openxmlformats.org/officeDocument/2006/relationships/hyperlink" Target="http://www.ntc.blm.gov/krc/uploads/194/2h%20-%20Native%20Ecosystems%20Council%20v%20US%20Forest%20Service%20--%20Jimtown.pdf"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23</Pages>
  <Words>9496</Words>
  <Characters>54128</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lpstr>
    </vt:vector>
  </TitlesOfParts>
  <Company>ONRC</Company>
  <LinksUpToDate>false</LinksUpToDate>
  <CharactersWithSpaces>63498</CharactersWithSpaces>
  <SharedDoc>false</SharedDoc>
  <HLinks>
    <vt:vector size="12" baseType="variant">
      <vt:variant>
        <vt:i4>2490414</vt:i4>
      </vt:variant>
      <vt:variant>
        <vt:i4>3</vt:i4>
      </vt:variant>
      <vt:variant>
        <vt:i4>0</vt:i4>
      </vt:variant>
      <vt:variant>
        <vt:i4>5</vt:i4>
      </vt:variant>
      <vt:variant>
        <vt:lpwstr>http://www.oregonwild.org/</vt:lpwstr>
      </vt:variant>
      <vt:variant>
        <vt:lpwstr/>
      </vt:variant>
      <vt:variant>
        <vt:i4>3670016</vt:i4>
      </vt:variant>
      <vt:variant>
        <vt:i4>0</vt:i4>
      </vt:variant>
      <vt:variant>
        <vt:i4>0</vt:i4>
      </vt:variant>
      <vt:variant>
        <vt:i4>5</vt:i4>
      </vt:variant>
      <vt:variant>
        <vt:lpwstr>mailto:dh@oregonwild.org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Doug</cp:lastModifiedBy>
  <cp:revision>43</cp:revision>
  <dcterms:created xsi:type="dcterms:W3CDTF">2021-04-22T18:35:00Z</dcterms:created>
  <dcterms:modified xsi:type="dcterms:W3CDTF">2021-04-23T17:28:00Z</dcterms:modified>
</cp:coreProperties>
</file>