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Spec="center" w:tblpY="-720"/>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8"/>
        <w:gridCol w:w="5310"/>
        <w:gridCol w:w="2790"/>
      </w:tblGrid>
      <w:tr w:rsidR="00F41692" w:rsidRPr="00286254" w14:paraId="497A5101" w14:textId="77777777" w:rsidTr="00F41692">
        <w:trPr>
          <w:trHeight w:val="3600"/>
        </w:trPr>
        <w:tc>
          <w:tcPr>
            <w:tcW w:w="2898" w:type="dxa"/>
          </w:tcPr>
          <w:p w14:paraId="4D391425" w14:textId="33DA92DA" w:rsidR="00F41692" w:rsidRPr="00286254" w:rsidRDefault="00F24D8A" w:rsidP="00F41692">
            <w:pPr>
              <w:pStyle w:val="Header"/>
              <w:rPr>
                <w:rFonts w:ascii="Calibri" w:hAnsi="Calibri" w:cs="Calibri"/>
                <w:b/>
              </w:rPr>
            </w:pPr>
            <w:r w:rsidRPr="00286254">
              <w:rPr>
                <w:rFonts w:ascii="Calibri" w:hAnsi="Calibri" w:cs="Calibri"/>
                <w:b/>
              </w:rPr>
              <w:t>Sharon Armijo</w:t>
            </w:r>
          </w:p>
          <w:p w14:paraId="21C6A7A2" w14:textId="77777777" w:rsidR="00F41692" w:rsidRPr="00286254" w:rsidRDefault="00F41692" w:rsidP="00F41692">
            <w:pPr>
              <w:pStyle w:val="Header"/>
              <w:rPr>
                <w:rFonts w:ascii="Calibri" w:hAnsi="Calibri" w:cs="Calibri"/>
              </w:rPr>
            </w:pPr>
            <w:r w:rsidRPr="00286254">
              <w:rPr>
                <w:rFonts w:ascii="Calibri" w:hAnsi="Calibri" w:cs="Calibri"/>
              </w:rPr>
              <w:t>Clerk – PO Box 197</w:t>
            </w:r>
          </w:p>
          <w:p w14:paraId="5D19C3AC" w14:textId="77777777" w:rsidR="00F41692" w:rsidRPr="00286254" w:rsidRDefault="00F41692" w:rsidP="00F41692">
            <w:pPr>
              <w:pStyle w:val="Header"/>
              <w:rPr>
                <w:rFonts w:ascii="Calibri" w:hAnsi="Calibri" w:cs="Calibri"/>
              </w:rPr>
            </w:pPr>
            <w:r w:rsidRPr="00286254">
              <w:rPr>
                <w:rFonts w:ascii="Calibri" w:hAnsi="Calibri" w:cs="Calibri"/>
              </w:rPr>
              <w:t>(575) 533-6400</w:t>
            </w:r>
          </w:p>
          <w:p w14:paraId="407484D0" w14:textId="77777777" w:rsidR="00F41692" w:rsidRPr="00286254" w:rsidRDefault="00F41692" w:rsidP="00F41692">
            <w:pPr>
              <w:pStyle w:val="Header"/>
              <w:rPr>
                <w:rFonts w:ascii="Calibri" w:hAnsi="Calibri" w:cs="Calibri"/>
              </w:rPr>
            </w:pPr>
          </w:p>
          <w:p w14:paraId="5117E58B" w14:textId="16533D70" w:rsidR="00F41692" w:rsidRPr="00286254" w:rsidRDefault="00387BC2" w:rsidP="00F41692">
            <w:pPr>
              <w:pStyle w:val="Header"/>
              <w:rPr>
                <w:rFonts w:ascii="Calibri" w:hAnsi="Calibri" w:cs="Calibri"/>
                <w:b/>
              </w:rPr>
            </w:pPr>
            <w:r w:rsidRPr="00286254">
              <w:rPr>
                <w:rFonts w:ascii="Calibri" w:hAnsi="Calibri" w:cs="Calibri"/>
                <w:b/>
              </w:rPr>
              <w:t xml:space="preserve">Joyce </w:t>
            </w:r>
            <w:r w:rsidR="00F24D8A" w:rsidRPr="00286254">
              <w:rPr>
                <w:rFonts w:ascii="Calibri" w:hAnsi="Calibri" w:cs="Calibri"/>
                <w:b/>
              </w:rPr>
              <w:t xml:space="preserve">R. </w:t>
            </w:r>
            <w:r w:rsidRPr="00286254">
              <w:rPr>
                <w:rFonts w:ascii="Calibri" w:hAnsi="Calibri" w:cs="Calibri"/>
                <w:b/>
              </w:rPr>
              <w:t>Laney</w:t>
            </w:r>
          </w:p>
          <w:p w14:paraId="1CCDF85D" w14:textId="77777777" w:rsidR="00F41692" w:rsidRPr="00286254" w:rsidRDefault="00F41692" w:rsidP="00F41692">
            <w:pPr>
              <w:pStyle w:val="Header"/>
              <w:rPr>
                <w:rFonts w:ascii="Calibri" w:hAnsi="Calibri" w:cs="Calibri"/>
              </w:rPr>
            </w:pPr>
            <w:r w:rsidRPr="00286254">
              <w:rPr>
                <w:rFonts w:ascii="Calibri" w:hAnsi="Calibri" w:cs="Calibri"/>
              </w:rPr>
              <w:t>Treasurer – PO Box 407</w:t>
            </w:r>
          </w:p>
          <w:p w14:paraId="24BDCCB9" w14:textId="77777777" w:rsidR="00F41692" w:rsidRPr="00286254" w:rsidRDefault="00F41692" w:rsidP="00F41692">
            <w:pPr>
              <w:pStyle w:val="Header"/>
              <w:rPr>
                <w:rFonts w:ascii="Calibri" w:hAnsi="Calibri" w:cs="Calibri"/>
              </w:rPr>
            </w:pPr>
            <w:r w:rsidRPr="00286254">
              <w:rPr>
                <w:rFonts w:ascii="Calibri" w:hAnsi="Calibri" w:cs="Calibri"/>
              </w:rPr>
              <w:t>(575) 533-6384</w:t>
            </w:r>
          </w:p>
          <w:p w14:paraId="20638CE2" w14:textId="77777777" w:rsidR="00F41692" w:rsidRPr="00286254" w:rsidRDefault="00F41692" w:rsidP="00F41692">
            <w:pPr>
              <w:pStyle w:val="Header"/>
              <w:rPr>
                <w:rFonts w:ascii="Calibri" w:hAnsi="Calibri" w:cs="Calibri"/>
              </w:rPr>
            </w:pPr>
          </w:p>
          <w:p w14:paraId="26206C01" w14:textId="77777777" w:rsidR="00F41692" w:rsidRPr="00286254" w:rsidRDefault="00F41692" w:rsidP="00F41692">
            <w:pPr>
              <w:pStyle w:val="Header"/>
              <w:rPr>
                <w:rFonts w:ascii="Calibri" w:hAnsi="Calibri" w:cs="Calibri"/>
                <w:b/>
              </w:rPr>
            </w:pPr>
            <w:r w:rsidRPr="00286254">
              <w:rPr>
                <w:rFonts w:ascii="Calibri" w:hAnsi="Calibri" w:cs="Calibri"/>
                <w:b/>
              </w:rPr>
              <w:t>Lillie Laney</w:t>
            </w:r>
          </w:p>
          <w:p w14:paraId="44DC3B27" w14:textId="77777777" w:rsidR="00F41692" w:rsidRPr="00286254" w:rsidRDefault="00F41692" w:rsidP="00F41692">
            <w:pPr>
              <w:pStyle w:val="Header"/>
              <w:rPr>
                <w:rFonts w:ascii="Calibri" w:hAnsi="Calibri" w:cs="Calibri"/>
              </w:rPr>
            </w:pPr>
            <w:r w:rsidRPr="00286254">
              <w:rPr>
                <w:rFonts w:ascii="Calibri" w:hAnsi="Calibri" w:cs="Calibri"/>
              </w:rPr>
              <w:t>Assessor – PO Box 416</w:t>
            </w:r>
          </w:p>
          <w:p w14:paraId="4FD62A5F" w14:textId="77777777" w:rsidR="00F41692" w:rsidRPr="00286254" w:rsidRDefault="00F41692" w:rsidP="00F41692">
            <w:pPr>
              <w:pStyle w:val="Header"/>
              <w:rPr>
                <w:rFonts w:ascii="Calibri" w:hAnsi="Calibri" w:cs="Calibri"/>
              </w:rPr>
            </w:pPr>
            <w:r w:rsidRPr="00286254">
              <w:rPr>
                <w:rFonts w:ascii="Calibri" w:hAnsi="Calibri" w:cs="Calibri"/>
              </w:rPr>
              <w:t>(575) 533-6577</w:t>
            </w:r>
          </w:p>
          <w:p w14:paraId="66246B3B" w14:textId="77777777" w:rsidR="00F41692" w:rsidRPr="00286254" w:rsidRDefault="00F41692" w:rsidP="00F41692">
            <w:pPr>
              <w:pStyle w:val="Header"/>
              <w:rPr>
                <w:rFonts w:ascii="Calibri" w:hAnsi="Calibri" w:cs="Calibri"/>
              </w:rPr>
            </w:pPr>
          </w:p>
          <w:p w14:paraId="1E32A5C8" w14:textId="77777777" w:rsidR="00F41692" w:rsidRPr="00286254" w:rsidRDefault="00F41692" w:rsidP="00F41692">
            <w:pPr>
              <w:pStyle w:val="Header"/>
              <w:rPr>
                <w:rFonts w:ascii="Calibri" w:hAnsi="Calibri" w:cs="Calibri"/>
                <w:b/>
              </w:rPr>
            </w:pPr>
            <w:r w:rsidRPr="00286254">
              <w:rPr>
                <w:rFonts w:ascii="Calibri" w:hAnsi="Calibri" w:cs="Calibri"/>
                <w:b/>
              </w:rPr>
              <w:t>Ian Fletcher</w:t>
            </w:r>
          </w:p>
          <w:p w14:paraId="180E99FD" w14:textId="77777777" w:rsidR="00F41692" w:rsidRPr="00286254" w:rsidRDefault="00F41692" w:rsidP="00F41692">
            <w:pPr>
              <w:pStyle w:val="Header"/>
              <w:rPr>
                <w:rFonts w:ascii="Calibri" w:hAnsi="Calibri" w:cs="Calibri"/>
              </w:rPr>
            </w:pPr>
            <w:r w:rsidRPr="00286254">
              <w:rPr>
                <w:rFonts w:ascii="Calibri" w:hAnsi="Calibri" w:cs="Calibri"/>
              </w:rPr>
              <w:t>Sheriff – PO Box 467</w:t>
            </w:r>
          </w:p>
          <w:p w14:paraId="03363876" w14:textId="77777777" w:rsidR="00F41692" w:rsidRPr="00286254" w:rsidRDefault="00F41692" w:rsidP="00F41692">
            <w:pPr>
              <w:pStyle w:val="Header"/>
              <w:rPr>
                <w:rFonts w:ascii="Calibri" w:hAnsi="Calibri" w:cs="Calibri"/>
              </w:rPr>
            </w:pPr>
            <w:r w:rsidRPr="00286254">
              <w:rPr>
                <w:rFonts w:ascii="Calibri" w:hAnsi="Calibri" w:cs="Calibri"/>
              </w:rPr>
              <w:t>(575) 533-6222</w:t>
            </w:r>
          </w:p>
          <w:p w14:paraId="5220A729" w14:textId="77777777" w:rsidR="00F41692" w:rsidRPr="00286254" w:rsidRDefault="00F41692" w:rsidP="00F41692">
            <w:pPr>
              <w:pStyle w:val="Header"/>
              <w:rPr>
                <w:rFonts w:ascii="Calibri" w:hAnsi="Calibri" w:cs="Calibri"/>
              </w:rPr>
            </w:pPr>
          </w:p>
          <w:p w14:paraId="49B9B4C0" w14:textId="57DA995B" w:rsidR="00F41692" w:rsidRPr="00286254" w:rsidRDefault="00F24D8A" w:rsidP="00F41692">
            <w:pPr>
              <w:pStyle w:val="Header"/>
              <w:rPr>
                <w:rFonts w:ascii="Calibri" w:hAnsi="Calibri" w:cs="Calibri"/>
                <w:b/>
              </w:rPr>
            </w:pPr>
            <w:r w:rsidRPr="00286254">
              <w:rPr>
                <w:rFonts w:ascii="Calibri" w:hAnsi="Calibri" w:cs="Calibri"/>
                <w:b/>
              </w:rPr>
              <w:t>Lucinda Howell</w:t>
            </w:r>
          </w:p>
          <w:p w14:paraId="745806F5" w14:textId="77777777" w:rsidR="00F41692" w:rsidRPr="00286254" w:rsidRDefault="00F41692" w:rsidP="00F41692">
            <w:pPr>
              <w:pStyle w:val="Header"/>
              <w:rPr>
                <w:rFonts w:ascii="Calibri" w:hAnsi="Calibri" w:cs="Calibri"/>
              </w:rPr>
            </w:pPr>
            <w:r w:rsidRPr="00286254">
              <w:rPr>
                <w:rFonts w:ascii="Calibri" w:hAnsi="Calibri" w:cs="Calibri"/>
              </w:rPr>
              <w:t>Probate Judge</w:t>
            </w:r>
          </w:p>
        </w:tc>
        <w:tc>
          <w:tcPr>
            <w:tcW w:w="5310" w:type="dxa"/>
          </w:tcPr>
          <w:p w14:paraId="700FE3B4" w14:textId="3F3B009D" w:rsidR="00F41692" w:rsidRPr="00286254" w:rsidRDefault="0087191D" w:rsidP="00F41692">
            <w:pPr>
              <w:pStyle w:val="Header"/>
              <w:jc w:val="center"/>
              <w:rPr>
                <w:rFonts w:ascii="Calibri" w:hAnsi="Calibri" w:cs="Calibri"/>
              </w:rPr>
            </w:pPr>
            <w:r w:rsidRPr="00286254">
              <w:rPr>
                <w:rFonts w:ascii="Calibri" w:hAnsi="Calibri" w:cs="Calibri"/>
                <w:noProof/>
              </w:rPr>
              <w:drawing>
                <wp:inline distT="0" distB="0" distL="0" distR="0" wp14:anchorId="138F2D9A" wp14:editId="13FDD60D">
                  <wp:extent cx="2124711" cy="2209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2152" cy="2331944"/>
                          </a:xfrm>
                          <a:prstGeom prst="rect">
                            <a:avLst/>
                          </a:prstGeom>
                          <a:noFill/>
                          <a:ln>
                            <a:noFill/>
                          </a:ln>
                        </pic:spPr>
                      </pic:pic>
                    </a:graphicData>
                  </a:graphic>
                </wp:inline>
              </w:drawing>
            </w:r>
          </w:p>
          <w:p w14:paraId="2C9F7697" w14:textId="4CFE9A38" w:rsidR="00F41692" w:rsidRPr="00286254" w:rsidRDefault="00F41692" w:rsidP="00F41692">
            <w:pPr>
              <w:pStyle w:val="Header"/>
              <w:rPr>
                <w:rFonts w:ascii="Calibri" w:hAnsi="Calibri" w:cs="Calibri"/>
              </w:rPr>
            </w:pPr>
            <w:r w:rsidRPr="00286254">
              <w:rPr>
                <w:rFonts w:ascii="Calibri" w:hAnsi="Calibri" w:cs="Calibri"/>
              </w:rPr>
              <w:ptab w:relativeTo="margin" w:alignment="center" w:leader="none"/>
            </w:r>
            <w:r w:rsidRPr="00286254">
              <w:rPr>
                <w:rFonts w:ascii="Calibri" w:hAnsi="Calibri" w:cs="Calibri"/>
              </w:rPr>
              <w:t xml:space="preserve"> Reserve, New Mexico 87830</w:t>
            </w:r>
          </w:p>
        </w:tc>
        <w:tc>
          <w:tcPr>
            <w:tcW w:w="2790" w:type="dxa"/>
          </w:tcPr>
          <w:p w14:paraId="7C953E9E" w14:textId="77777777" w:rsidR="00F41692" w:rsidRPr="00286254" w:rsidRDefault="00F41692" w:rsidP="00F41692">
            <w:pPr>
              <w:pStyle w:val="Header"/>
              <w:jc w:val="right"/>
              <w:rPr>
                <w:rFonts w:ascii="Calibri" w:hAnsi="Calibri" w:cs="Calibri"/>
                <w:b/>
              </w:rPr>
            </w:pPr>
            <w:r w:rsidRPr="00286254">
              <w:rPr>
                <w:rFonts w:ascii="Calibri" w:hAnsi="Calibri" w:cs="Calibri"/>
                <w:b/>
              </w:rPr>
              <w:t>Anita A. Hand</w:t>
            </w:r>
          </w:p>
          <w:p w14:paraId="04902358" w14:textId="28430186" w:rsidR="00F41692" w:rsidRPr="00286254" w:rsidRDefault="00F41692" w:rsidP="00F41692">
            <w:pPr>
              <w:pStyle w:val="Header"/>
              <w:jc w:val="right"/>
              <w:rPr>
                <w:rFonts w:ascii="Calibri" w:hAnsi="Calibri" w:cs="Calibri"/>
              </w:rPr>
            </w:pPr>
            <w:r w:rsidRPr="00286254">
              <w:rPr>
                <w:rFonts w:ascii="Calibri" w:hAnsi="Calibri" w:cs="Calibri"/>
              </w:rPr>
              <w:t>Commission</w:t>
            </w:r>
            <w:r w:rsidR="00286254">
              <w:rPr>
                <w:rFonts w:ascii="Calibri" w:hAnsi="Calibri" w:cs="Calibri"/>
              </w:rPr>
              <w:t>er - Chair</w:t>
            </w:r>
          </w:p>
          <w:p w14:paraId="28A8A8D5" w14:textId="77777777" w:rsidR="00F41692" w:rsidRPr="00286254" w:rsidRDefault="00F41692" w:rsidP="00F41692">
            <w:pPr>
              <w:pStyle w:val="Header"/>
              <w:jc w:val="right"/>
              <w:rPr>
                <w:rFonts w:ascii="Calibri" w:hAnsi="Calibri" w:cs="Calibri"/>
              </w:rPr>
            </w:pPr>
            <w:r w:rsidRPr="00286254">
              <w:rPr>
                <w:rFonts w:ascii="Calibri" w:hAnsi="Calibri" w:cs="Calibri"/>
              </w:rPr>
              <w:t>District No. 1</w:t>
            </w:r>
          </w:p>
          <w:p w14:paraId="6961C041" w14:textId="77777777" w:rsidR="00F41692" w:rsidRPr="00286254" w:rsidRDefault="00F41692" w:rsidP="00F41692">
            <w:pPr>
              <w:pStyle w:val="Header"/>
              <w:jc w:val="right"/>
              <w:rPr>
                <w:rFonts w:ascii="Calibri" w:hAnsi="Calibri" w:cs="Calibri"/>
              </w:rPr>
            </w:pPr>
          </w:p>
          <w:p w14:paraId="66196563" w14:textId="77777777" w:rsidR="00F41692" w:rsidRPr="00286254" w:rsidRDefault="00F41692" w:rsidP="00F41692">
            <w:pPr>
              <w:pStyle w:val="Header"/>
              <w:jc w:val="right"/>
              <w:rPr>
                <w:rFonts w:ascii="Calibri" w:hAnsi="Calibri" w:cs="Calibri"/>
                <w:b/>
              </w:rPr>
            </w:pPr>
            <w:r w:rsidRPr="00286254">
              <w:rPr>
                <w:rFonts w:ascii="Calibri" w:hAnsi="Calibri" w:cs="Calibri"/>
                <w:b/>
              </w:rPr>
              <w:t>John Cliff Snyder</w:t>
            </w:r>
          </w:p>
          <w:p w14:paraId="775376C1" w14:textId="0800ACBA" w:rsidR="00F41692" w:rsidRPr="00286254" w:rsidRDefault="00F41692" w:rsidP="00F41692">
            <w:pPr>
              <w:pStyle w:val="Header"/>
              <w:jc w:val="right"/>
              <w:rPr>
                <w:rFonts w:ascii="Calibri" w:hAnsi="Calibri" w:cs="Calibri"/>
              </w:rPr>
            </w:pPr>
            <w:r w:rsidRPr="00286254">
              <w:rPr>
                <w:rFonts w:ascii="Calibri" w:hAnsi="Calibri" w:cs="Calibri"/>
              </w:rPr>
              <w:t>Commissioner</w:t>
            </w:r>
            <w:r w:rsidR="00286254">
              <w:rPr>
                <w:rFonts w:ascii="Calibri" w:hAnsi="Calibri" w:cs="Calibri"/>
              </w:rPr>
              <w:t xml:space="preserve"> – Vice Chair</w:t>
            </w:r>
          </w:p>
          <w:p w14:paraId="57FFCA9D" w14:textId="77777777" w:rsidR="00F41692" w:rsidRPr="00286254" w:rsidRDefault="00F41692" w:rsidP="00F41692">
            <w:pPr>
              <w:pStyle w:val="Header"/>
              <w:jc w:val="right"/>
              <w:rPr>
                <w:rFonts w:ascii="Calibri" w:hAnsi="Calibri" w:cs="Calibri"/>
              </w:rPr>
            </w:pPr>
            <w:r w:rsidRPr="00286254">
              <w:rPr>
                <w:rFonts w:ascii="Calibri" w:hAnsi="Calibri" w:cs="Calibri"/>
              </w:rPr>
              <w:t>District No. 2</w:t>
            </w:r>
          </w:p>
          <w:p w14:paraId="0B0CD6A9" w14:textId="77777777" w:rsidR="00F41692" w:rsidRPr="00286254" w:rsidRDefault="00F41692" w:rsidP="00F41692">
            <w:pPr>
              <w:pStyle w:val="Header"/>
              <w:jc w:val="right"/>
              <w:rPr>
                <w:rFonts w:ascii="Calibri" w:hAnsi="Calibri" w:cs="Calibri"/>
              </w:rPr>
            </w:pPr>
          </w:p>
          <w:p w14:paraId="0693BAE9" w14:textId="56294F9A" w:rsidR="00F41692" w:rsidRPr="00286254" w:rsidRDefault="00A2126E" w:rsidP="00F41692">
            <w:pPr>
              <w:pStyle w:val="Header"/>
              <w:jc w:val="right"/>
              <w:rPr>
                <w:rFonts w:ascii="Calibri" w:hAnsi="Calibri" w:cs="Calibri"/>
                <w:b/>
              </w:rPr>
            </w:pPr>
            <w:r w:rsidRPr="00286254">
              <w:rPr>
                <w:rFonts w:ascii="Calibri" w:hAnsi="Calibri" w:cs="Calibri"/>
                <w:b/>
              </w:rPr>
              <w:t>Haydn R. Forward</w:t>
            </w:r>
          </w:p>
          <w:p w14:paraId="6C7621E2" w14:textId="4851BBD5" w:rsidR="00F41692" w:rsidRPr="00286254" w:rsidRDefault="00F41692" w:rsidP="00F41692">
            <w:pPr>
              <w:pStyle w:val="Header"/>
              <w:jc w:val="right"/>
              <w:rPr>
                <w:rFonts w:ascii="Calibri" w:hAnsi="Calibri" w:cs="Calibri"/>
              </w:rPr>
            </w:pPr>
            <w:r w:rsidRPr="00286254">
              <w:rPr>
                <w:rFonts w:ascii="Calibri" w:hAnsi="Calibri" w:cs="Calibri"/>
              </w:rPr>
              <w:t>Commissioner</w:t>
            </w:r>
            <w:r w:rsidR="00286254">
              <w:rPr>
                <w:rFonts w:ascii="Calibri" w:hAnsi="Calibri" w:cs="Calibri"/>
              </w:rPr>
              <w:t xml:space="preserve"> - Member</w:t>
            </w:r>
          </w:p>
          <w:p w14:paraId="0AFEBF82" w14:textId="77777777" w:rsidR="00F41692" w:rsidRPr="00286254" w:rsidRDefault="00F41692" w:rsidP="00F41692">
            <w:pPr>
              <w:pStyle w:val="Header"/>
              <w:jc w:val="right"/>
              <w:rPr>
                <w:rFonts w:ascii="Calibri" w:hAnsi="Calibri" w:cs="Calibri"/>
              </w:rPr>
            </w:pPr>
            <w:r w:rsidRPr="00286254">
              <w:rPr>
                <w:rFonts w:ascii="Calibri" w:hAnsi="Calibri" w:cs="Calibri"/>
              </w:rPr>
              <w:t>District No. 3</w:t>
            </w:r>
          </w:p>
          <w:p w14:paraId="6A05A0FC" w14:textId="77777777" w:rsidR="00F41692" w:rsidRPr="00286254" w:rsidRDefault="00F41692" w:rsidP="00F41692">
            <w:pPr>
              <w:pStyle w:val="Header"/>
              <w:jc w:val="right"/>
              <w:rPr>
                <w:rFonts w:ascii="Calibri" w:hAnsi="Calibri" w:cs="Calibri"/>
              </w:rPr>
            </w:pPr>
          </w:p>
          <w:p w14:paraId="74FDDDAD" w14:textId="77777777" w:rsidR="00F41692" w:rsidRPr="00286254" w:rsidRDefault="00F41692" w:rsidP="00F41692">
            <w:pPr>
              <w:pStyle w:val="Header"/>
              <w:jc w:val="right"/>
              <w:rPr>
                <w:rFonts w:ascii="Calibri" w:hAnsi="Calibri" w:cs="Calibri"/>
                <w:b/>
              </w:rPr>
            </w:pPr>
            <w:r w:rsidRPr="00286254">
              <w:rPr>
                <w:rFonts w:ascii="Calibri" w:hAnsi="Calibri" w:cs="Calibri"/>
                <w:b/>
              </w:rPr>
              <w:t>Commission Office</w:t>
            </w:r>
          </w:p>
          <w:p w14:paraId="4A2E38E6" w14:textId="77777777" w:rsidR="00F41692" w:rsidRPr="00286254" w:rsidRDefault="00F41692" w:rsidP="00F41692">
            <w:pPr>
              <w:pStyle w:val="Header"/>
              <w:jc w:val="right"/>
              <w:rPr>
                <w:rFonts w:ascii="Calibri" w:hAnsi="Calibri" w:cs="Calibri"/>
                <w:b/>
              </w:rPr>
            </w:pPr>
            <w:r w:rsidRPr="00286254">
              <w:rPr>
                <w:rFonts w:ascii="Calibri" w:hAnsi="Calibri" w:cs="Calibri"/>
              </w:rPr>
              <w:t>PO Box 507 – (575) 533-6423</w:t>
            </w:r>
          </w:p>
          <w:p w14:paraId="6A499D8E" w14:textId="77777777" w:rsidR="00F41692" w:rsidRPr="00286254" w:rsidRDefault="00F41692" w:rsidP="00F41692">
            <w:pPr>
              <w:pStyle w:val="Header"/>
              <w:jc w:val="right"/>
              <w:rPr>
                <w:rFonts w:ascii="Calibri" w:hAnsi="Calibri" w:cs="Calibri"/>
              </w:rPr>
            </w:pPr>
            <w:r w:rsidRPr="00286254">
              <w:rPr>
                <w:rFonts w:ascii="Calibri" w:hAnsi="Calibri" w:cs="Calibri"/>
              </w:rPr>
              <w:t>FAX (575) 533-6433</w:t>
            </w:r>
          </w:p>
          <w:p w14:paraId="252E2DCC" w14:textId="77777777" w:rsidR="00F41692" w:rsidRPr="00286254" w:rsidRDefault="00F41692" w:rsidP="00F41692">
            <w:pPr>
              <w:pStyle w:val="Header"/>
              <w:jc w:val="right"/>
              <w:rPr>
                <w:rFonts w:ascii="Calibri" w:hAnsi="Calibri" w:cs="Calibri"/>
              </w:rPr>
            </w:pPr>
          </w:p>
          <w:p w14:paraId="779FC372" w14:textId="77777777" w:rsidR="00F41692" w:rsidRPr="00286254" w:rsidRDefault="00F41692" w:rsidP="00F41692">
            <w:pPr>
              <w:pStyle w:val="Header"/>
              <w:jc w:val="right"/>
              <w:rPr>
                <w:rFonts w:ascii="Calibri" w:hAnsi="Calibri" w:cs="Calibri"/>
                <w:b/>
              </w:rPr>
            </w:pPr>
            <w:r w:rsidRPr="00286254">
              <w:rPr>
                <w:rFonts w:ascii="Calibri" w:hAnsi="Calibri" w:cs="Calibri"/>
                <w:b/>
              </w:rPr>
              <w:t>Bill Green</w:t>
            </w:r>
          </w:p>
          <w:p w14:paraId="4719F289" w14:textId="77777777" w:rsidR="00F41692" w:rsidRPr="00286254" w:rsidRDefault="00F41692" w:rsidP="00F41692">
            <w:pPr>
              <w:pStyle w:val="Header"/>
              <w:jc w:val="right"/>
              <w:rPr>
                <w:rFonts w:ascii="Calibri" w:hAnsi="Calibri" w:cs="Calibri"/>
              </w:rPr>
            </w:pPr>
            <w:r w:rsidRPr="00286254">
              <w:rPr>
                <w:rFonts w:ascii="Calibri" w:hAnsi="Calibri" w:cs="Calibri"/>
              </w:rPr>
              <w:t>County Manager</w:t>
            </w:r>
          </w:p>
        </w:tc>
      </w:tr>
    </w:tbl>
    <w:p w14:paraId="19259901" w14:textId="3310CA0C" w:rsidR="00C059D5" w:rsidRPr="00286254" w:rsidRDefault="00C059D5">
      <w:pPr>
        <w:rPr>
          <w:rFonts w:ascii="Calibri" w:hAnsi="Calibri" w:cs="Calibri"/>
          <w:sz w:val="22"/>
          <w:szCs w:val="22"/>
        </w:rPr>
      </w:pPr>
    </w:p>
    <w:p w14:paraId="2623FB2A" w14:textId="4D6734B4" w:rsidR="00D814D6" w:rsidRPr="00286254" w:rsidRDefault="00D814D6">
      <w:pPr>
        <w:rPr>
          <w:rFonts w:ascii="Calibri" w:hAnsi="Calibri" w:cs="Calibri"/>
          <w:sz w:val="22"/>
          <w:szCs w:val="22"/>
        </w:rPr>
      </w:pPr>
    </w:p>
    <w:p w14:paraId="0B5DAAF2" w14:textId="2373B951" w:rsidR="00D814D6" w:rsidRPr="00286254" w:rsidRDefault="00D814D6">
      <w:pPr>
        <w:rPr>
          <w:rFonts w:ascii="Calibri" w:hAnsi="Calibri" w:cs="Calibri"/>
          <w:sz w:val="22"/>
          <w:szCs w:val="22"/>
        </w:rPr>
      </w:pPr>
    </w:p>
    <w:p w14:paraId="29992322" w14:textId="5CB4B265" w:rsidR="00D814D6" w:rsidRPr="00286254" w:rsidRDefault="00D814D6">
      <w:pPr>
        <w:rPr>
          <w:rFonts w:ascii="Calibri" w:hAnsi="Calibri" w:cs="Calibri"/>
          <w:sz w:val="22"/>
          <w:szCs w:val="22"/>
        </w:rPr>
      </w:pPr>
      <w:r w:rsidRPr="00286254">
        <w:rPr>
          <w:rFonts w:ascii="Calibri" w:hAnsi="Calibri" w:cs="Calibri"/>
          <w:sz w:val="22"/>
          <w:szCs w:val="22"/>
        </w:rPr>
        <w:t>April 17, 2021</w:t>
      </w:r>
    </w:p>
    <w:p w14:paraId="1B2CA1E3" w14:textId="1A4B4919" w:rsidR="00D814D6" w:rsidRPr="00286254" w:rsidRDefault="00D814D6">
      <w:pPr>
        <w:rPr>
          <w:rFonts w:ascii="Calibri" w:hAnsi="Calibri" w:cs="Calibri"/>
          <w:sz w:val="22"/>
          <w:szCs w:val="22"/>
        </w:rPr>
      </w:pPr>
    </w:p>
    <w:p w14:paraId="5540106F" w14:textId="15C34FB0" w:rsidR="00D814D6" w:rsidRPr="00286254" w:rsidRDefault="00D814D6">
      <w:pPr>
        <w:rPr>
          <w:rFonts w:ascii="Calibri" w:hAnsi="Calibri" w:cs="Calibri"/>
          <w:sz w:val="22"/>
          <w:szCs w:val="22"/>
        </w:rPr>
      </w:pPr>
    </w:p>
    <w:p w14:paraId="00D4D2DB" w14:textId="7FA9CCB5" w:rsidR="00D814D6" w:rsidRPr="00286254" w:rsidRDefault="00D814D6">
      <w:pPr>
        <w:rPr>
          <w:rFonts w:ascii="Calibri" w:hAnsi="Calibri" w:cs="Calibri"/>
          <w:sz w:val="22"/>
          <w:szCs w:val="22"/>
        </w:rPr>
      </w:pPr>
    </w:p>
    <w:p w14:paraId="301F41F4" w14:textId="0A0B4B81" w:rsidR="00D814D6" w:rsidRPr="00286254" w:rsidRDefault="00D814D6">
      <w:pPr>
        <w:rPr>
          <w:rFonts w:ascii="Calibri" w:hAnsi="Calibri" w:cs="Calibri"/>
          <w:sz w:val="22"/>
          <w:szCs w:val="22"/>
        </w:rPr>
      </w:pPr>
      <w:r w:rsidRPr="00286254">
        <w:rPr>
          <w:rFonts w:ascii="Calibri" w:hAnsi="Calibri" w:cs="Calibri"/>
          <w:sz w:val="22"/>
          <w:szCs w:val="22"/>
        </w:rPr>
        <w:t>U.S. Forest Service</w:t>
      </w:r>
    </w:p>
    <w:p w14:paraId="6E5C5546" w14:textId="49FAB3EA" w:rsidR="00D814D6" w:rsidRPr="00286254" w:rsidRDefault="00DF6124">
      <w:pPr>
        <w:rPr>
          <w:rFonts w:ascii="Calibri" w:hAnsi="Calibri" w:cs="Calibri"/>
          <w:sz w:val="22"/>
          <w:szCs w:val="22"/>
        </w:rPr>
      </w:pPr>
      <w:r w:rsidRPr="00286254">
        <w:rPr>
          <w:rFonts w:ascii="Calibri" w:hAnsi="Calibri" w:cs="Calibri"/>
          <w:sz w:val="22"/>
          <w:szCs w:val="22"/>
        </w:rPr>
        <w:t>Director, Forest Management</w:t>
      </w:r>
    </w:p>
    <w:p w14:paraId="31D4F8BE" w14:textId="08EDC735" w:rsidR="00DF6124" w:rsidRPr="00286254" w:rsidRDefault="00DF6124">
      <w:pPr>
        <w:rPr>
          <w:rFonts w:ascii="Calibri" w:hAnsi="Calibri" w:cs="Calibri"/>
          <w:sz w:val="22"/>
          <w:szCs w:val="22"/>
        </w:rPr>
      </w:pPr>
      <w:r w:rsidRPr="00286254">
        <w:rPr>
          <w:rFonts w:ascii="Calibri" w:hAnsi="Calibri" w:cs="Calibri"/>
          <w:sz w:val="22"/>
          <w:szCs w:val="22"/>
        </w:rPr>
        <w:t>Range Management and Vegetation Ecology</w:t>
      </w:r>
    </w:p>
    <w:p w14:paraId="64B300FD" w14:textId="3776442C" w:rsidR="00D814D6" w:rsidRPr="00286254" w:rsidRDefault="00DF6124">
      <w:pPr>
        <w:rPr>
          <w:rFonts w:ascii="Calibri" w:hAnsi="Calibri" w:cs="Calibri"/>
          <w:sz w:val="22"/>
          <w:szCs w:val="22"/>
        </w:rPr>
      </w:pPr>
      <w:r w:rsidRPr="00286254">
        <w:rPr>
          <w:rFonts w:ascii="Calibri" w:hAnsi="Calibri" w:cs="Calibri"/>
          <w:sz w:val="22"/>
          <w:szCs w:val="22"/>
        </w:rPr>
        <w:t>201 14</w:t>
      </w:r>
      <w:r w:rsidRPr="00286254">
        <w:rPr>
          <w:rFonts w:ascii="Calibri" w:hAnsi="Calibri" w:cs="Calibri"/>
          <w:sz w:val="22"/>
          <w:szCs w:val="22"/>
          <w:vertAlign w:val="superscript"/>
        </w:rPr>
        <w:t>th</w:t>
      </w:r>
      <w:r w:rsidRPr="00286254">
        <w:rPr>
          <w:rFonts w:ascii="Calibri" w:hAnsi="Calibri" w:cs="Calibri"/>
          <w:sz w:val="22"/>
          <w:szCs w:val="22"/>
        </w:rPr>
        <w:t xml:space="preserve"> Street SW</w:t>
      </w:r>
    </w:p>
    <w:p w14:paraId="4F221869" w14:textId="7EE11B9A" w:rsidR="00DF6124" w:rsidRPr="00286254" w:rsidRDefault="00DF6124">
      <w:pPr>
        <w:rPr>
          <w:rFonts w:ascii="Calibri" w:hAnsi="Calibri" w:cs="Calibri"/>
          <w:sz w:val="22"/>
          <w:szCs w:val="22"/>
        </w:rPr>
      </w:pPr>
      <w:r w:rsidRPr="00286254">
        <w:rPr>
          <w:rFonts w:ascii="Calibri" w:hAnsi="Calibri" w:cs="Calibri"/>
          <w:sz w:val="22"/>
          <w:szCs w:val="22"/>
        </w:rPr>
        <w:t>Suite 3SE</w:t>
      </w:r>
    </w:p>
    <w:p w14:paraId="21FB2D05" w14:textId="00A144B2" w:rsidR="00D814D6" w:rsidRPr="00286254" w:rsidRDefault="00D814D6">
      <w:pPr>
        <w:rPr>
          <w:rFonts w:ascii="Calibri" w:hAnsi="Calibri" w:cs="Calibri"/>
          <w:sz w:val="22"/>
          <w:szCs w:val="22"/>
        </w:rPr>
      </w:pPr>
      <w:r w:rsidRPr="00286254">
        <w:rPr>
          <w:rFonts w:ascii="Calibri" w:hAnsi="Calibri" w:cs="Calibri"/>
          <w:sz w:val="22"/>
          <w:szCs w:val="22"/>
        </w:rPr>
        <w:t>Washington</w:t>
      </w:r>
      <w:r w:rsidR="00DF6124" w:rsidRPr="00286254">
        <w:rPr>
          <w:rFonts w:ascii="Calibri" w:hAnsi="Calibri" w:cs="Calibri"/>
          <w:sz w:val="22"/>
          <w:szCs w:val="22"/>
        </w:rPr>
        <w:t>,</w:t>
      </w:r>
      <w:r w:rsidRPr="00286254">
        <w:rPr>
          <w:rFonts w:ascii="Calibri" w:hAnsi="Calibri" w:cs="Calibri"/>
          <w:sz w:val="22"/>
          <w:szCs w:val="22"/>
        </w:rPr>
        <w:t xml:space="preserve"> DC 20250-11</w:t>
      </w:r>
      <w:r w:rsidR="00DF6124" w:rsidRPr="00286254">
        <w:rPr>
          <w:rFonts w:ascii="Calibri" w:hAnsi="Calibri" w:cs="Calibri"/>
          <w:sz w:val="22"/>
          <w:szCs w:val="22"/>
        </w:rPr>
        <w:t>24</w:t>
      </w:r>
    </w:p>
    <w:p w14:paraId="45D51650" w14:textId="1AC5D701" w:rsidR="00DF6124" w:rsidRPr="00286254" w:rsidRDefault="00DF6124">
      <w:pPr>
        <w:rPr>
          <w:rFonts w:ascii="Calibri" w:hAnsi="Calibri" w:cs="Calibri"/>
          <w:sz w:val="22"/>
          <w:szCs w:val="22"/>
        </w:rPr>
      </w:pPr>
    </w:p>
    <w:p w14:paraId="28913F36" w14:textId="77777777" w:rsidR="00933F9B" w:rsidRPr="00286254" w:rsidRDefault="00933F9B">
      <w:pPr>
        <w:rPr>
          <w:rFonts w:ascii="Calibri" w:hAnsi="Calibri" w:cs="Calibri"/>
          <w:sz w:val="22"/>
          <w:szCs w:val="22"/>
        </w:rPr>
      </w:pPr>
    </w:p>
    <w:p w14:paraId="32D5FB6F" w14:textId="3FA142EC" w:rsidR="00DF6124" w:rsidRPr="00286254" w:rsidRDefault="00DF6124">
      <w:pPr>
        <w:rPr>
          <w:rFonts w:ascii="Calibri" w:hAnsi="Calibri" w:cs="Calibri"/>
          <w:sz w:val="22"/>
          <w:szCs w:val="22"/>
        </w:rPr>
      </w:pPr>
      <w:r w:rsidRPr="00286254">
        <w:rPr>
          <w:rFonts w:ascii="Calibri" w:hAnsi="Calibri" w:cs="Calibri"/>
          <w:sz w:val="22"/>
          <w:szCs w:val="22"/>
        </w:rPr>
        <w:t>To Whom It May Concern:</w:t>
      </w:r>
    </w:p>
    <w:p w14:paraId="5C51EFEE" w14:textId="4E6E74E5" w:rsidR="00DF6124" w:rsidRPr="00286254" w:rsidRDefault="00DF6124">
      <w:pPr>
        <w:rPr>
          <w:rFonts w:ascii="Calibri" w:hAnsi="Calibri" w:cs="Calibri"/>
          <w:sz w:val="22"/>
          <w:szCs w:val="22"/>
        </w:rPr>
      </w:pPr>
    </w:p>
    <w:p w14:paraId="73A93F2A" w14:textId="6A7E177E" w:rsidR="00DF6124" w:rsidRPr="00286254" w:rsidRDefault="00DF6124" w:rsidP="00DF6124">
      <w:pPr>
        <w:rPr>
          <w:rFonts w:ascii="Calibri" w:eastAsia="Times New Roman" w:hAnsi="Calibri" w:cs="Calibri"/>
          <w:sz w:val="22"/>
          <w:szCs w:val="22"/>
        </w:rPr>
      </w:pPr>
      <w:r w:rsidRPr="00286254">
        <w:rPr>
          <w:rFonts w:ascii="Calibri" w:hAnsi="Calibri" w:cs="Calibri"/>
          <w:sz w:val="22"/>
          <w:szCs w:val="22"/>
        </w:rPr>
        <w:t xml:space="preserve">Please consider the following comments which are being submitted on behalf of the Board of Catron County Commissioners.   As it was unclear within the text indicating was added and what was deleted, it was assumed that the entire document was open for comment.  </w:t>
      </w:r>
      <w:r w:rsidR="00D814D6" w:rsidRPr="00D814D6">
        <w:rPr>
          <w:rFonts w:ascii="Calibri" w:eastAsia="Times New Roman" w:hAnsi="Calibri" w:cs="Calibri"/>
          <w:sz w:val="22"/>
          <w:szCs w:val="22"/>
        </w:rPr>
        <w:br/>
      </w:r>
    </w:p>
    <w:p w14:paraId="79CEE202" w14:textId="63C0B9EA" w:rsidR="00D814D6" w:rsidRPr="00D814D6" w:rsidRDefault="00D814D6" w:rsidP="00DF6124">
      <w:pPr>
        <w:rPr>
          <w:rFonts w:ascii="Calibri" w:hAnsi="Calibri" w:cs="Calibri"/>
          <w:b/>
          <w:sz w:val="22"/>
          <w:szCs w:val="22"/>
        </w:rPr>
      </w:pPr>
      <w:r w:rsidRPr="00D814D6">
        <w:rPr>
          <w:rFonts w:ascii="Calibri" w:eastAsia="Times New Roman" w:hAnsi="Calibri" w:cs="Calibri"/>
          <w:b/>
          <w:sz w:val="22"/>
          <w:szCs w:val="22"/>
        </w:rPr>
        <w:t xml:space="preserve">FSH 2209.13 - GRAZING PERMIT ADMINISTRATION HANDBOOK </w:t>
      </w:r>
    </w:p>
    <w:p w14:paraId="43A95BD4" w14:textId="77777777" w:rsidR="00286254" w:rsidRDefault="00D814D6" w:rsidP="00286254">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CHAPTER 10 - TERM GRAZING PERMITS- 12.13 - Forest Service Employees</w:t>
      </w:r>
      <w:r w:rsidRPr="00D814D6">
        <w:rPr>
          <w:rFonts w:ascii="Calibri" w:eastAsia="Times New Roman" w:hAnsi="Calibri" w:cs="Calibri"/>
          <w:sz w:val="22"/>
          <w:szCs w:val="22"/>
        </w:rPr>
        <w:br/>
      </w:r>
    </w:p>
    <w:p w14:paraId="10C17192" w14:textId="029FB32C" w:rsidR="00D814D6" w:rsidRPr="00D814D6" w:rsidRDefault="00D814D6" w:rsidP="00286254">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Employees of the Forest Service may be eligible to hold any type of a Forest Service permit, including term grazing permits, but they must receive written approval of the responsible official (Forest/Grassland Supervisor or Regional Forester) prior to making application for the grazing permit. (See FSM 6174.1 and/or contact the USDA Office of Ethics concerning employee conduct and employee conflicts of interest). </w:t>
      </w:r>
    </w:p>
    <w:p w14:paraId="682EB7D7" w14:textId="6EF197C7"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lastRenderedPageBreak/>
        <w:t>COMMENT:</w:t>
      </w:r>
      <w:r w:rsidRPr="00D814D6">
        <w:rPr>
          <w:rFonts w:ascii="Calibri" w:eastAsia="Times New Roman" w:hAnsi="Calibri" w:cs="Calibri"/>
          <w:sz w:val="22"/>
          <w:szCs w:val="22"/>
        </w:rPr>
        <w:br/>
      </w:r>
      <w:r w:rsidR="00DF6124" w:rsidRPr="00D814D6">
        <w:rPr>
          <w:rFonts w:ascii="Calibri" w:eastAsia="Times New Roman" w:hAnsi="Calibri" w:cs="Calibri"/>
          <w:sz w:val="22"/>
          <w:szCs w:val="22"/>
        </w:rPr>
        <w:t>This statement should be expanded to include former or retired employees to safe</w:t>
      </w:r>
      <w:r w:rsidRPr="00D814D6">
        <w:rPr>
          <w:rFonts w:ascii="Calibri" w:eastAsia="Times New Roman" w:hAnsi="Calibri" w:cs="Calibri"/>
          <w:sz w:val="22"/>
          <w:szCs w:val="22"/>
        </w:rPr>
        <w:t xml:space="preserve">guard against an appearance of malfeasance. </w:t>
      </w:r>
    </w:p>
    <w:p w14:paraId="5A190FAE" w14:textId="6732CE89" w:rsidR="00DF6124" w:rsidRPr="00286254"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10 - TERM GRAZING PERMITS -13.61 - Designation of a Forage Reserve Allotment </w:t>
      </w:r>
    </w:p>
    <w:p w14:paraId="73E6DF9A" w14:textId="6809C6B6" w:rsidR="00D814D6" w:rsidRPr="00D814D6" w:rsidRDefault="00D814D6" w:rsidP="00DF6124">
      <w:pPr>
        <w:spacing w:before="100" w:beforeAutospacing="1" w:after="100" w:afterAutospacing="1"/>
        <w:ind w:left="720"/>
        <w:rPr>
          <w:rFonts w:ascii="Calibri" w:eastAsia="Times New Roman" w:hAnsi="Calibri" w:cs="Calibri"/>
          <w:b/>
          <w:sz w:val="22"/>
          <w:szCs w:val="22"/>
        </w:rPr>
      </w:pPr>
      <w:r w:rsidRPr="00D814D6">
        <w:rPr>
          <w:rFonts w:ascii="Calibri" w:eastAsia="Times New Roman" w:hAnsi="Calibri" w:cs="Calibri"/>
          <w:sz w:val="22"/>
          <w:szCs w:val="22"/>
        </w:rPr>
        <w:t>Consider the following when evaluating:</w:t>
      </w:r>
      <w:r w:rsidRPr="00D814D6">
        <w:rPr>
          <w:rFonts w:ascii="Calibri" w:eastAsia="Times New Roman" w:hAnsi="Calibri" w:cs="Calibri"/>
          <w:sz w:val="22"/>
          <w:szCs w:val="22"/>
        </w:rPr>
        <w:br/>
        <w:t>1. There must be an appropriate level of environmental analysis and decision, and consultation if required, to allow for authorization of livestock use on the allotment, except in situations such as fire, drought, or other emergency displacement of permittees from normally assigned allotments (36 CFR 222.3(c)(2)(</w:t>
      </w:r>
      <w:proofErr w:type="spellStart"/>
      <w:r w:rsidRPr="00D814D6">
        <w:rPr>
          <w:rFonts w:ascii="Calibri" w:eastAsia="Times New Roman" w:hAnsi="Calibri" w:cs="Calibri"/>
          <w:sz w:val="22"/>
          <w:szCs w:val="22"/>
        </w:rPr>
        <w:t>i</w:t>
      </w:r>
      <w:proofErr w:type="spellEnd"/>
      <w:r w:rsidRPr="00D814D6">
        <w:rPr>
          <w:rFonts w:ascii="Calibri" w:eastAsia="Times New Roman" w:hAnsi="Calibri" w:cs="Calibri"/>
          <w:sz w:val="22"/>
          <w:szCs w:val="22"/>
        </w:rPr>
        <w:t>)(E)). If the current environmental analysis is not sufficient for designation, schedule the allotment and determine the appropriate priority with other allotments being analyzed.</w:t>
      </w:r>
      <w:r w:rsidRPr="00D814D6">
        <w:rPr>
          <w:rFonts w:ascii="Calibri" w:eastAsia="Times New Roman" w:hAnsi="Calibri" w:cs="Calibri"/>
          <w:sz w:val="22"/>
          <w:szCs w:val="22"/>
        </w:rPr>
        <w:br/>
        <w:t xml:space="preserve">2. The Forest Service may be responsible for maintenance of structural or nonstructural range improvements that had previously been assigned to the allotment permittee. This maintenance will be assigned to any permittee(s) authorized to use the forage reserve allotment. </w:t>
      </w:r>
    </w:p>
    <w:p w14:paraId="7B1CFB6C" w14:textId="250F7DF2"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00C90274" w:rsidRPr="00286254">
        <w:rPr>
          <w:rFonts w:ascii="Calibri" w:eastAsia="Times New Roman" w:hAnsi="Calibri" w:cs="Calibri"/>
          <w:sz w:val="22"/>
          <w:szCs w:val="22"/>
        </w:rPr>
        <w:t xml:space="preserve">  </w:t>
      </w:r>
      <w:r w:rsidR="00CC0067" w:rsidRPr="00286254">
        <w:rPr>
          <w:rFonts w:ascii="Calibri" w:eastAsia="Times New Roman" w:hAnsi="Calibri" w:cs="Calibri"/>
          <w:sz w:val="22"/>
          <w:szCs w:val="22"/>
        </w:rPr>
        <w:t>Vacant</w:t>
      </w:r>
      <w:r w:rsidR="00CC0067" w:rsidRPr="00286254">
        <w:rPr>
          <w:rFonts w:ascii="Calibri" w:eastAsia="Times New Roman" w:hAnsi="Calibri" w:cs="Calibri"/>
          <w:sz w:val="22"/>
          <w:szCs w:val="22"/>
        </w:rPr>
        <w:t xml:space="preserve"> allotment</w:t>
      </w:r>
      <w:r w:rsidR="00CC0067" w:rsidRPr="00286254">
        <w:rPr>
          <w:rFonts w:ascii="Calibri" w:eastAsia="Times New Roman" w:hAnsi="Calibri" w:cs="Calibri"/>
          <w:sz w:val="22"/>
          <w:szCs w:val="22"/>
        </w:rPr>
        <w:t xml:space="preserve"> water</w:t>
      </w:r>
      <w:r w:rsidR="00CC0067" w:rsidRPr="00286254">
        <w:rPr>
          <w:rFonts w:ascii="Calibri" w:eastAsia="Times New Roman" w:hAnsi="Calibri" w:cs="Calibri"/>
          <w:sz w:val="22"/>
          <w:szCs w:val="22"/>
        </w:rPr>
        <w:t xml:space="preserve"> </w:t>
      </w:r>
      <w:r w:rsidR="00CC0067" w:rsidRPr="00286254">
        <w:rPr>
          <w:rFonts w:ascii="Calibri" w:eastAsia="Times New Roman" w:hAnsi="Calibri" w:cs="Calibri"/>
          <w:sz w:val="22"/>
          <w:szCs w:val="22"/>
        </w:rPr>
        <w:t>must be maintained.  Allotments with non-maintained water forces wildlife onto allotments where water</w:t>
      </w:r>
      <w:r w:rsidR="00CC0067" w:rsidRPr="00286254">
        <w:rPr>
          <w:rFonts w:ascii="Calibri" w:eastAsia="Times New Roman" w:hAnsi="Calibri" w:cs="Calibri"/>
          <w:b/>
          <w:sz w:val="22"/>
          <w:szCs w:val="22"/>
        </w:rPr>
        <w:t xml:space="preserve"> is </w:t>
      </w:r>
      <w:r w:rsidR="00CC0067" w:rsidRPr="00286254">
        <w:rPr>
          <w:rFonts w:ascii="Calibri" w:eastAsia="Times New Roman" w:hAnsi="Calibri" w:cs="Calibri"/>
          <w:sz w:val="22"/>
          <w:szCs w:val="22"/>
        </w:rPr>
        <w:t xml:space="preserve">maintained and creates conflict with livestock.  </w:t>
      </w:r>
      <w:r w:rsidR="00CC0067" w:rsidRPr="00286254">
        <w:rPr>
          <w:rFonts w:ascii="Calibri" w:eastAsia="Times New Roman" w:hAnsi="Calibri" w:cs="Calibri"/>
          <w:sz w:val="22"/>
          <w:szCs w:val="22"/>
        </w:rPr>
        <w:t xml:space="preserve"> </w:t>
      </w:r>
      <w:r w:rsidR="00CC0067" w:rsidRPr="00286254">
        <w:rPr>
          <w:rFonts w:ascii="Calibri" w:eastAsia="Times New Roman" w:hAnsi="Calibri" w:cs="Calibri"/>
          <w:sz w:val="22"/>
          <w:szCs w:val="22"/>
        </w:rPr>
        <w:t xml:space="preserve">With the growing population of Mexican Gray Wolves, conflict with livestock should be avoided not encouraged.  </w:t>
      </w:r>
      <w:r w:rsidR="000A70B1" w:rsidRPr="00286254">
        <w:rPr>
          <w:rFonts w:ascii="Calibri" w:eastAsia="Times New Roman" w:hAnsi="Calibri" w:cs="Calibri"/>
          <w:sz w:val="22"/>
          <w:szCs w:val="22"/>
        </w:rPr>
        <w:t xml:space="preserve">Maintenance and repair of range improvements is the greatest weakness of the forage </w:t>
      </w:r>
      <w:r w:rsidRPr="00D814D6">
        <w:rPr>
          <w:rFonts w:ascii="Calibri" w:eastAsia="Times New Roman" w:hAnsi="Calibri" w:cs="Calibri"/>
          <w:sz w:val="22"/>
          <w:szCs w:val="22"/>
        </w:rPr>
        <w:t xml:space="preserve">reserve proposal, without these improvements, allotments are not useful for the purpose proposed. </w:t>
      </w:r>
      <w:r w:rsidR="00CC0067" w:rsidRPr="00286254">
        <w:rPr>
          <w:rFonts w:ascii="Calibri" w:eastAsia="Times New Roman" w:hAnsi="Calibri" w:cs="Calibri"/>
          <w:sz w:val="22"/>
          <w:szCs w:val="22"/>
        </w:rPr>
        <w:t xml:space="preserve"> The statement </w:t>
      </w:r>
      <w:r w:rsidRPr="00D814D6">
        <w:rPr>
          <w:rFonts w:ascii="Calibri" w:eastAsia="Times New Roman" w:hAnsi="Calibri" w:cs="Calibri"/>
          <w:sz w:val="22"/>
          <w:szCs w:val="22"/>
        </w:rPr>
        <w:t xml:space="preserve">“may be responsible” indicates that it is not the intent of the Forest Service to do the maintenance and repairs. Later it reads “Even if these MOUs are not recommended, they may be the only option available to keep the allotment infrastructure intact and/or to avoid vacating or closing the allotment.”, also indicating that the Forest Service has no intention of maintaining these range improvements. A preferred option to “vacating or closing” is to issue a term grazing permit. </w:t>
      </w:r>
      <w:r w:rsidR="000A70B1" w:rsidRPr="00286254">
        <w:rPr>
          <w:rFonts w:ascii="Calibri" w:eastAsia="Times New Roman" w:hAnsi="Calibri" w:cs="Calibri"/>
          <w:sz w:val="22"/>
          <w:szCs w:val="22"/>
        </w:rPr>
        <w:t xml:space="preserve"> </w:t>
      </w:r>
    </w:p>
    <w:p w14:paraId="21E66555"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10 - TERM GRAZING PERMITS- 13.7 - Official Agency Policy on Third Party Arrangements or Permit Buyouts by External Groups </w:t>
      </w:r>
    </w:p>
    <w:p w14:paraId="1ECA348A" w14:textId="77777777" w:rsidR="00D814D6" w:rsidRPr="00D814D6" w:rsidRDefault="00D814D6" w:rsidP="00C90274">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If a permittee waives their grazing privileges back to the Forest Service, there can be no guarantee or agreement, whether written or verbal, regarding waived grazing capacity allocation, based upon buyout agreements between permittees and conservation groups, or other outside parties. </w:t>
      </w:r>
    </w:p>
    <w:p w14:paraId="4E4E509F" w14:textId="76C68C63"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C90274" w:rsidRPr="00286254">
        <w:rPr>
          <w:rFonts w:ascii="Calibri" w:eastAsia="Times New Roman" w:hAnsi="Calibri" w:cs="Calibri"/>
          <w:sz w:val="22"/>
          <w:szCs w:val="22"/>
        </w:rPr>
        <w:t xml:space="preserve">Catron County is encouraged that the Forest Service isn’t developing new rules for “permit buyouts” and allowing exceptions for these third parties.   </w:t>
      </w:r>
      <w:r w:rsidRPr="00D814D6">
        <w:rPr>
          <w:rFonts w:ascii="Calibri" w:eastAsia="Times New Roman" w:hAnsi="Calibri" w:cs="Calibri"/>
          <w:sz w:val="22"/>
          <w:szCs w:val="22"/>
        </w:rPr>
        <w:t xml:space="preserve">Allowing a third party to dictate the use of the grazing privilege would be an exception that nobody else enjoys. However, if the Forest Service is going to classify these allotments as “forage reserves” rather than a term grazing allotment, the third party is getting their wish partially met. </w:t>
      </w:r>
    </w:p>
    <w:p w14:paraId="2D77D056" w14:textId="0E99B021" w:rsidR="00D814D6" w:rsidRPr="00D814D6" w:rsidRDefault="00C90274" w:rsidP="00D814D6">
      <w:pPr>
        <w:spacing w:before="100" w:beforeAutospacing="1" w:after="100" w:afterAutospacing="1"/>
        <w:rPr>
          <w:rFonts w:ascii="Calibri" w:eastAsia="Times New Roman" w:hAnsi="Calibri" w:cs="Calibri"/>
          <w:sz w:val="22"/>
          <w:szCs w:val="22"/>
        </w:rPr>
      </w:pPr>
      <w:r w:rsidRPr="00286254">
        <w:rPr>
          <w:rFonts w:ascii="Calibri" w:eastAsia="Times New Roman" w:hAnsi="Calibri" w:cs="Calibri"/>
          <w:sz w:val="22"/>
          <w:szCs w:val="22"/>
        </w:rPr>
        <w:t xml:space="preserve"> </w:t>
      </w:r>
    </w:p>
    <w:p w14:paraId="241334DC" w14:textId="77777777" w:rsidR="00286254" w:rsidRDefault="00286254" w:rsidP="00D814D6">
      <w:pPr>
        <w:spacing w:before="100" w:beforeAutospacing="1" w:after="100" w:afterAutospacing="1"/>
        <w:rPr>
          <w:rFonts w:ascii="Calibri" w:eastAsia="Times New Roman" w:hAnsi="Calibri" w:cs="Calibri"/>
          <w:b/>
          <w:sz w:val="22"/>
          <w:szCs w:val="22"/>
        </w:rPr>
      </w:pPr>
    </w:p>
    <w:p w14:paraId="68802E49" w14:textId="53349A60"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lastRenderedPageBreak/>
        <w:t xml:space="preserve">CHAPTER 10 - TERM GRAZING PERMITS- 15.3 - Number, Kind and Class of Livestock, Period of Use, and Grazing Allotment </w:t>
      </w:r>
    </w:p>
    <w:p w14:paraId="187C8575" w14:textId="3A04B7B6" w:rsidR="00D814D6" w:rsidRPr="00D814D6" w:rsidRDefault="00D814D6" w:rsidP="00C90274">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The AUM definition for capacity and permitting (1.0, with or without calf at side) is not the same thing as an AUM (1.32) as shown in the RIMS database calculations. </w:t>
      </w:r>
    </w:p>
    <w:p w14:paraId="7C18924C" w14:textId="77777777"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Please provide the documentation for the AUM (1.32) and the regulations or laws related to it as it relates to assessing grazing fees. </w:t>
      </w:r>
    </w:p>
    <w:p w14:paraId="55B161AC"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10 - TERM GRAZING PERMITS- 15.43 - Special Terms and Conditions </w:t>
      </w:r>
    </w:p>
    <w:p w14:paraId="10FCEB43" w14:textId="77777777" w:rsidR="00D814D6" w:rsidRPr="00D814D6" w:rsidRDefault="00D814D6" w:rsidP="00C90274">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The authorized officer should require the permittee to provide monitoring information related to livestock operation compliance shown in Part 2 of the terms and conditions of the permit, such as actual livestock numbers grazed, time period of grazing, livestock distribution, structural and nonstructural improvement condition, improvement maintenance activities conducted, vegetation use, and other terms of the permit. Discuss these requirements fully with the permittee prior to initiation and offer any training necessary to achieve desired permittee performance. </w:t>
      </w:r>
    </w:p>
    <w:p w14:paraId="51DA32C5" w14:textId="0198FE00"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br/>
      </w:r>
      <w:r w:rsidR="00C90274" w:rsidRPr="00D814D6">
        <w:rPr>
          <w:rFonts w:ascii="Calibri" w:eastAsia="Times New Roman" w:hAnsi="Calibri" w:cs="Calibri"/>
          <w:sz w:val="22"/>
          <w:szCs w:val="22"/>
        </w:rPr>
        <w:t xml:space="preserve">The requirement for “monitoring information” is unclear, is “vegetation use” </w:t>
      </w:r>
      <w:r w:rsidRPr="00D814D6">
        <w:rPr>
          <w:rFonts w:ascii="Calibri" w:eastAsia="Times New Roman" w:hAnsi="Calibri" w:cs="Calibri"/>
          <w:sz w:val="22"/>
          <w:szCs w:val="22"/>
        </w:rPr>
        <w:t xml:space="preserve">quantitative or qualitative? Although monitoring is defined as “The collection and analysis of repeated observations or measurements over time to detect changes in conditions and values and evaluate progress toward meeting a resource or management </w:t>
      </w:r>
      <w:r w:rsidR="00C90274" w:rsidRPr="00286254">
        <w:rPr>
          <w:rFonts w:ascii="Calibri" w:eastAsia="Times New Roman" w:hAnsi="Calibri" w:cs="Calibri"/>
          <w:sz w:val="22"/>
          <w:szCs w:val="22"/>
        </w:rPr>
        <w:t>objective. “it</w:t>
      </w:r>
      <w:r w:rsidRPr="00D814D6">
        <w:rPr>
          <w:rFonts w:ascii="Calibri" w:eastAsia="Times New Roman" w:hAnsi="Calibri" w:cs="Calibri"/>
          <w:sz w:val="22"/>
          <w:szCs w:val="22"/>
        </w:rPr>
        <w:t xml:space="preserve"> is unclear how observations by different individuals, with different values and perceptions could be used to detect changes in “conditions and values”. According to the directives the agency, permittee, and third parties are “monitoring”, however, the specifics of what type of monitoring and its usefulness or defensibility is not mentioned. </w:t>
      </w:r>
    </w:p>
    <w:p w14:paraId="3ADA89B5"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10 - TERM GRAZING PERMITS- 16.1 - Modification of Term Grazing Permit to Conform to Law or to Address Rangeland Resource Conditions </w:t>
      </w:r>
    </w:p>
    <w:p w14:paraId="6CE1ABEF" w14:textId="77777777" w:rsidR="00D814D6" w:rsidRPr="00D814D6" w:rsidRDefault="00D814D6" w:rsidP="00C93D0F">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Grazing permits may be modified to provide for cooperative range development projects. The development work, specifications, permittee and Forest Service responsibilities may be described in the AOI, by certified letter, and/or by permit modification forms. A permittee's failure to satisfactorily complete the development as specified in the modification constitutes a violation of the terms and conditions of the grazing permit unless the Forest Service failed to complete its obligations. </w:t>
      </w:r>
    </w:p>
    <w:p w14:paraId="65B46B84" w14:textId="280DC311"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b/>
          <w:sz w:val="22"/>
          <w:szCs w:val="22"/>
        </w:rPr>
        <w:br/>
      </w:r>
      <w:r w:rsidR="00C93D0F" w:rsidRPr="00286254">
        <w:rPr>
          <w:rFonts w:ascii="Calibri" w:eastAsia="Times New Roman" w:hAnsi="Calibri" w:cs="Calibri"/>
          <w:sz w:val="22"/>
          <w:szCs w:val="22"/>
        </w:rPr>
        <w:t>Does</w:t>
      </w:r>
      <w:r w:rsidR="00C93D0F" w:rsidRPr="00D814D6">
        <w:rPr>
          <w:rFonts w:ascii="Calibri" w:eastAsia="Times New Roman" w:hAnsi="Calibri" w:cs="Calibri"/>
          <w:sz w:val="22"/>
          <w:szCs w:val="22"/>
        </w:rPr>
        <w:t xml:space="preserve"> the “modification” of the term permit include the permittee or is </w:t>
      </w:r>
      <w:r w:rsidRPr="00D814D6">
        <w:rPr>
          <w:rFonts w:ascii="Calibri" w:eastAsia="Times New Roman" w:hAnsi="Calibri" w:cs="Calibri"/>
          <w:sz w:val="22"/>
          <w:szCs w:val="22"/>
        </w:rPr>
        <w:t xml:space="preserve">this strictly a Forest Service decision that the permittee has no input? The AOI, certified letter and/or permit modification forms, make it appears to be something done without involvement of the permittee. Exhibit 01 contains statements like “Title of improvements constructed or maintained as a result of this modification shall be and remain vested in the Unites States Government” and “Failure to fulfill the terms of this modification is a violation of the Permittee's grazing permit and may be cause for suspension or cancellation of the permit in whole or in part.”, which make it critical that the permittee is involved and agrees to the modification. Section 16.11 - Modification Procedure, states that the permittee “should” </w:t>
      </w:r>
      <w:r w:rsidRPr="00D814D6">
        <w:rPr>
          <w:rFonts w:ascii="Calibri" w:eastAsia="Times New Roman" w:hAnsi="Calibri" w:cs="Calibri"/>
          <w:sz w:val="22"/>
          <w:szCs w:val="22"/>
        </w:rPr>
        <w:lastRenderedPageBreak/>
        <w:t xml:space="preserve">be involved, leaving it as discretionary. We recommend changing “should” to “must” throughout this section. </w:t>
      </w:r>
    </w:p>
    <w:p w14:paraId="3324FFCE"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10 - TERM GRAZING PERMITS 16.12 - Modifications That Result in Increased Numbers or Seasons of Use </w:t>
      </w:r>
    </w:p>
    <w:p w14:paraId="2D764439" w14:textId="77777777" w:rsidR="00D814D6" w:rsidRPr="00D814D6" w:rsidRDefault="00D814D6" w:rsidP="00C93D0F">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The number of livestock or season of use authorized by a grazing permit may be temporarily or permanently increased to: </w:t>
      </w:r>
    </w:p>
    <w:p w14:paraId="2D241600" w14:textId="77777777" w:rsidR="00D814D6" w:rsidRPr="00D814D6" w:rsidRDefault="00D814D6" w:rsidP="00C93D0F">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1. Take advantage of additional grazing capacity resulting from the permittee’s direct involvement in improvement work or more intensive management. The amount of the increase will be in proportion to the permittee’s role in the improvement work or intensive management. </w:t>
      </w:r>
    </w:p>
    <w:p w14:paraId="5C6CC8ED" w14:textId="77777777" w:rsidR="00D814D6" w:rsidRPr="00D814D6" w:rsidRDefault="00D814D6" w:rsidP="00C93D0F">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2. Restore reductions made for rangeland resource management or protection purposes when the objectives for which the reductions were made have been accomplished and documented. Allocation of this increased capacity shall be among those permittees (or their successors in interest) in proportion to the amount of the reduction sustained within the previous 10 years </w:t>
      </w:r>
    </w:p>
    <w:p w14:paraId="54651E83" w14:textId="4D5FD4C8"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br/>
      </w:r>
      <w:r w:rsidR="00C93D0F" w:rsidRPr="00D814D6">
        <w:rPr>
          <w:rFonts w:ascii="Calibri" w:eastAsia="Times New Roman" w:hAnsi="Calibri" w:cs="Calibri"/>
          <w:sz w:val="22"/>
          <w:szCs w:val="22"/>
        </w:rPr>
        <w:t xml:space="preserve">Increases should not be limited to the “proportion to the permittee’s role” or “in </w:t>
      </w:r>
      <w:r w:rsidRPr="00D814D6">
        <w:rPr>
          <w:rFonts w:ascii="Calibri" w:eastAsia="Times New Roman" w:hAnsi="Calibri" w:cs="Calibri"/>
          <w:sz w:val="22"/>
          <w:szCs w:val="22"/>
        </w:rPr>
        <w:t xml:space="preserve">proportion to the amount of the reduction sustained within the previous 10 years”. </w:t>
      </w:r>
      <w:r w:rsidR="00C93D0F" w:rsidRPr="00286254">
        <w:rPr>
          <w:rFonts w:ascii="Calibri" w:eastAsia="Times New Roman" w:hAnsi="Calibri" w:cs="Calibri"/>
          <w:sz w:val="22"/>
          <w:szCs w:val="22"/>
        </w:rPr>
        <w:t>I</w:t>
      </w:r>
      <w:r w:rsidRPr="00D814D6">
        <w:rPr>
          <w:rFonts w:ascii="Calibri" w:eastAsia="Times New Roman" w:hAnsi="Calibri" w:cs="Calibri"/>
          <w:sz w:val="22"/>
          <w:szCs w:val="22"/>
        </w:rPr>
        <w:t>t took more than 10 years, under Forest Service management to result in natural resource conditions that need restoratio</w:t>
      </w:r>
      <w:r w:rsidR="00C93D0F" w:rsidRPr="00286254">
        <w:rPr>
          <w:rFonts w:ascii="Calibri" w:eastAsia="Times New Roman" w:hAnsi="Calibri" w:cs="Calibri"/>
          <w:sz w:val="22"/>
          <w:szCs w:val="22"/>
        </w:rPr>
        <w:t>n and</w:t>
      </w:r>
      <w:r w:rsidRPr="00D814D6">
        <w:rPr>
          <w:rFonts w:ascii="Calibri" w:eastAsia="Times New Roman" w:hAnsi="Calibri" w:cs="Calibri"/>
          <w:sz w:val="22"/>
          <w:szCs w:val="22"/>
        </w:rPr>
        <w:t xml:space="preserve"> without the contributions of the permittee’s, improvement would be zero, therefore both parties benefit without these limitations and </w:t>
      </w:r>
      <w:r w:rsidR="005245AD" w:rsidRPr="00D814D6">
        <w:rPr>
          <w:rFonts w:ascii="Calibri" w:eastAsia="Times New Roman" w:hAnsi="Calibri" w:cs="Calibri"/>
          <w:sz w:val="22"/>
          <w:szCs w:val="22"/>
        </w:rPr>
        <w:t>permittees</w:t>
      </w:r>
      <w:r w:rsidRPr="00D814D6">
        <w:rPr>
          <w:rFonts w:ascii="Calibri" w:eastAsia="Times New Roman" w:hAnsi="Calibri" w:cs="Calibri"/>
          <w:sz w:val="22"/>
          <w:szCs w:val="22"/>
        </w:rPr>
        <w:t xml:space="preserve"> would be incentivized as their benefit/cost ratio increases. </w:t>
      </w:r>
    </w:p>
    <w:p w14:paraId="46506F71"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10 - TERM GRAZING PERMITS 16.14 - Permittee Requests to Convert Kind or Class of Livestock or to Make Other Modifications </w:t>
      </w:r>
    </w:p>
    <w:p w14:paraId="16D01274" w14:textId="77777777" w:rsidR="00D814D6" w:rsidRPr="00D814D6" w:rsidRDefault="00D814D6" w:rsidP="00C93D0F">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Conversions in the kind or class of livestock may result in a corresponding change in permitted numbers. Changes in numbers should not be based on differences in forage consumption rates (AUM conversion factors) but on the ability to meet annual use standards and the relative impacts that the change may have on the rangeland resources across the allotment(s). Additional issues related to changes in the level of livestock management that would be needed should also be considered. The authorized officer must exercise caution in this process. Rarely can change in kind or class be evaluated using an AUM conversion factor. Change in kind and class of livestock generally results in different areas of the allotment being used, changes in herd and band practices, changes in distribution, changes in use rates, etc. </w:t>
      </w:r>
    </w:p>
    <w:p w14:paraId="6045A8AA" w14:textId="125A7417"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br/>
      </w:r>
      <w:r w:rsidR="00C93D0F" w:rsidRPr="00286254">
        <w:rPr>
          <w:rFonts w:ascii="Calibri" w:eastAsia="Times New Roman" w:hAnsi="Calibri" w:cs="Calibri"/>
          <w:sz w:val="22"/>
          <w:szCs w:val="22"/>
        </w:rPr>
        <w:t>Catron County does not disagree with the above statement, but it</w:t>
      </w:r>
      <w:r w:rsidR="00C93D0F" w:rsidRPr="00D814D6">
        <w:rPr>
          <w:rFonts w:ascii="Calibri" w:eastAsia="Times New Roman" w:hAnsi="Calibri" w:cs="Calibri"/>
          <w:sz w:val="22"/>
          <w:szCs w:val="22"/>
        </w:rPr>
        <w:t xml:space="preserve"> should be noted that the AUM </w:t>
      </w:r>
      <w:r w:rsidRPr="00D814D6">
        <w:rPr>
          <w:rFonts w:ascii="Calibri" w:eastAsia="Times New Roman" w:hAnsi="Calibri" w:cs="Calibri"/>
          <w:sz w:val="22"/>
          <w:szCs w:val="22"/>
        </w:rPr>
        <w:t xml:space="preserve">conversion factors is a starting place and a plan and objectives should be discussed and agreed upon relating to the “stock and monitor approach” including: the initial stocking rate, objectives and indicators to be monitored, and when adjustments in stocking will be made with timelines on the objectives and adjustments (adaptive management). </w:t>
      </w:r>
    </w:p>
    <w:p w14:paraId="01E628F1" w14:textId="77777777" w:rsidR="005245AD" w:rsidRDefault="005245AD" w:rsidP="00D814D6">
      <w:pPr>
        <w:spacing w:before="100" w:beforeAutospacing="1" w:after="100" w:afterAutospacing="1"/>
        <w:rPr>
          <w:rFonts w:ascii="Calibri" w:eastAsia="Times New Roman" w:hAnsi="Calibri" w:cs="Calibri"/>
          <w:b/>
          <w:sz w:val="22"/>
          <w:szCs w:val="22"/>
        </w:rPr>
      </w:pPr>
    </w:p>
    <w:p w14:paraId="6B646D81" w14:textId="7072DF1C"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lastRenderedPageBreak/>
        <w:t xml:space="preserve">CHAPTER 10 - TERM GRAZING PERMITS 16.35 – Willfulness and Public Health and Safety Exceptions </w:t>
      </w:r>
    </w:p>
    <w:p w14:paraId="642D20B0" w14:textId="1D7C8D3D" w:rsidR="00D814D6" w:rsidRPr="00D814D6" w:rsidRDefault="00D814D6" w:rsidP="006B06A2">
      <w:pPr>
        <w:spacing w:before="100" w:beforeAutospacing="1" w:after="100" w:afterAutospacing="1"/>
        <w:ind w:left="720"/>
        <w:rPr>
          <w:rFonts w:ascii="Calibri" w:eastAsia="Times New Roman" w:hAnsi="Calibri" w:cs="Calibri"/>
          <w:sz w:val="22"/>
          <w:szCs w:val="22"/>
        </w:rPr>
      </w:pPr>
      <w:proofErr w:type="gramStart"/>
      <w:r w:rsidRPr="00D814D6">
        <w:rPr>
          <w:rFonts w:ascii="Calibri" w:eastAsia="Times New Roman" w:hAnsi="Calibri" w:cs="Calibri"/>
          <w:sz w:val="22"/>
          <w:szCs w:val="22"/>
        </w:rPr>
        <w:t>Take action</w:t>
      </w:r>
      <w:proofErr w:type="gramEnd"/>
      <w:r w:rsidRPr="00D814D6">
        <w:rPr>
          <w:rFonts w:ascii="Calibri" w:eastAsia="Times New Roman" w:hAnsi="Calibri" w:cs="Calibri"/>
          <w:sz w:val="22"/>
          <w:szCs w:val="22"/>
        </w:rPr>
        <w:t xml:space="preserve"> immediately in instances where the violation has an immediate impact on public health and safety and prompt action is necessary to avert the threat (see 5 U.S.C 558(c)). Examples might be where a break in the allotment boundary fence has occurred and livestock are discovered inside a fenced rural airport boundary, or within a fenced public thoroughfare right</w:t>
      </w:r>
      <w:r w:rsidR="006B06A2" w:rsidRPr="00286254">
        <w:rPr>
          <w:rFonts w:ascii="Calibri" w:eastAsia="Times New Roman" w:hAnsi="Calibri" w:cs="Calibri"/>
          <w:sz w:val="22"/>
          <w:szCs w:val="22"/>
        </w:rPr>
        <w:t>-</w:t>
      </w:r>
      <w:r w:rsidRPr="00D814D6">
        <w:rPr>
          <w:rFonts w:ascii="Calibri" w:eastAsia="Times New Roman" w:hAnsi="Calibri" w:cs="Calibri"/>
          <w:sz w:val="22"/>
          <w:szCs w:val="22"/>
        </w:rPr>
        <w:t xml:space="preserve">of- way. </w:t>
      </w:r>
    </w:p>
    <w:p w14:paraId="324BE47E" w14:textId="0672ED14"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6B06A2" w:rsidRPr="00286254">
        <w:rPr>
          <w:rFonts w:ascii="Calibri" w:eastAsia="Times New Roman" w:hAnsi="Calibri" w:cs="Calibri"/>
          <w:sz w:val="22"/>
          <w:szCs w:val="22"/>
        </w:rPr>
        <w:t>We</w:t>
      </w:r>
      <w:r w:rsidRPr="00D814D6">
        <w:rPr>
          <w:rFonts w:ascii="Calibri" w:eastAsia="Times New Roman" w:hAnsi="Calibri" w:cs="Calibri"/>
          <w:sz w:val="22"/>
          <w:szCs w:val="22"/>
        </w:rPr>
        <w:t xml:space="preserve"> assume that the “exceptions” refers to the need to issue a Notice of a Noncompliance, but it is unclear on whether “take action immediately” is supposed to mean “institute permit suspension or cancellation proceedings” or get the livestock off of the right-of-way, as in the example? This is a poor example, because a “break in the allotment boundary fence” would not be a willful act of the permittee. If this is an example of willfulness and public health and safety issue, how would </w:t>
      </w:r>
      <w:r w:rsidR="006B06A2" w:rsidRPr="00286254">
        <w:rPr>
          <w:rFonts w:ascii="Calibri" w:eastAsia="Times New Roman" w:hAnsi="Calibri" w:cs="Calibri"/>
          <w:sz w:val="22"/>
          <w:szCs w:val="22"/>
        </w:rPr>
        <w:t>does the Forest Service prove</w:t>
      </w:r>
      <w:r w:rsidRPr="00D814D6">
        <w:rPr>
          <w:rFonts w:ascii="Calibri" w:eastAsia="Times New Roman" w:hAnsi="Calibri" w:cs="Calibri"/>
          <w:sz w:val="22"/>
          <w:szCs w:val="22"/>
        </w:rPr>
        <w:t xml:space="preserve"> that the permittee and not </w:t>
      </w:r>
      <w:r w:rsidR="006B06A2" w:rsidRPr="00286254">
        <w:rPr>
          <w:rFonts w:ascii="Calibri" w:eastAsia="Times New Roman" w:hAnsi="Calibri" w:cs="Calibri"/>
          <w:sz w:val="22"/>
          <w:szCs w:val="22"/>
        </w:rPr>
        <w:t xml:space="preserve">a </w:t>
      </w:r>
      <w:r w:rsidRPr="00D814D6">
        <w:rPr>
          <w:rFonts w:ascii="Calibri" w:eastAsia="Times New Roman" w:hAnsi="Calibri" w:cs="Calibri"/>
          <w:sz w:val="22"/>
          <w:szCs w:val="22"/>
        </w:rPr>
        <w:t>human visitor, willfully and intentionally cut the fence</w:t>
      </w:r>
      <w:r w:rsidR="006B06A2" w:rsidRPr="00286254">
        <w:rPr>
          <w:rFonts w:ascii="Calibri" w:eastAsia="Times New Roman" w:hAnsi="Calibri" w:cs="Calibri"/>
          <w:sz w:val="22"/>
          <w:szCs w:val="22"/>
        </w:rPr>
        <w:t>?</w:t>
      </w:r>
    </w:p>
    <w:p w14:paraId="24898679"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10 - TERM GRAZING PERMITS 16.36 - Repeated Incidents of Non-Compliance </w:t>
      </w:r>
    </w:p>
    <w:p w14:paraId="4AF89B7C" w14:textId="77777777" w:rsidR="00D814D6" w:rsidRPr="00D814D6" w:rsidRDefault="00D814D6" w:rsidP="006B06A2">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While they may be entitled to a “second chance,” permittees are not entitled to unlimited chances to correct repeated incidents of non-compliance regarding the same or closely related permit terms or conditions. Such an approach could lead to a never- ending cycle of permittee violation, </w:t>
      </w:r>
    </w:p>
    <w:p w14:paraId="3E71C17C" w14:textId="22E75835"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Understanding the need to prevent “a never-ending cycle of permittee violations”, there needs to be consideration for a multiple-use landscape with the public having unlimited access, wildlife and wild horses that break fences and natural causes like trees falling on the fences. Although a previous example (page 110) stated “Examples of such minor violations could include a minor number of livestock being in the wrong pasture due to a gate being left open or a fence segment in need of emergency repair, a minor number of livestock that may have wandered off the allotment, or finding a few stray livestock that could not be found when a pasture was cleared or at the end of the grazing season.”, this statement appears to only allow a “second chance”, even though the violations are beyond the control of the permittee. We recommend that this statement is clarified as not including “minor violations”. </w:t>
      </w:r>
      <w:r w:rsidR="006B06A2" w:rsidRPr="00286254">
        <w:rPr>
          <w:rFonts w:ascii="Calibri" w:eastAsia="Times New Roman" w:hAnsi="Calibri" w:cs="Calibri"/>
          <w:sz w:val="22"/>
          <w:szCs w:val="22"/>
        </w:rPr>
        <w:t xml:space="preserve"> In addition, Catron County would like the Forest Service to consider the negative impact apex predators could have on creating a violation. For example, an apex predator running cattle through a fence into another allotment is not the fault of the permittee and is beyond their control.</w:t>
      </w:r>
    </w:p>
    <w:p w14:paraId="2D1878EE"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10 - TERM GRAZING PERMITS 16.6 - Permit Cancellation to Devote the Lands to Another Public Purpose </w:t>
      </w:r>
    </w:p>
    <w:p w14:paraId="1EE415DC" w14:textId="77777777" w:rsidR="00D814D6" w:rsidRPr="00D814D6" w:rsidRDefault="00D814D6" w:rsidP="006B06A2">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Under Section 402(g) of FLPMA, the permittee is entitled to reasonable compensation for the adjusted value of their interest in authorized permanent improvements on NFS lands that are to be devoted to another public purpose that precludes livestock grazing. This only applies if it was the current permittee who contributed to construction of the specific improvements. See chapter 70 and FSM 2248. </w:t>
      </w:r>
    </w:p>
    <w:p w14:paraId="2F2752C5" w14:textId="281B8276"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br/>
      </w:r>
      <w:r w:rsidR="00881F3E" w:rsidRPr="00D814D6">
        <w:rPr>
          <w:rFonts w:ascii="Calibri" w:eastAsia="Times New Roman" w:hAnsi="Calibri" w:cs="Calibri"/>
          <w:sz w:val="22"/>
          <w:szCs w:val="22"/>
        </w:rPr>
        <w:t xml:space="preserve">“reasonable compensation for the adjusted value of their interest” is very different </w:t>
      </w:r>
      <w:r w:rsidRPr="00D814D6">
        <w:rPr>
          <w:rFonts w:ascii="Calibri" w:eastAsia="Times New Roman" w:hAnsi="Calibri" w:cs="Calibri"/>
          <w:sz w:val="22"/>
          <w:szCs w:val="22"/>
        </w:rPr>
        <w:t xml:space="preserve">from “only applies if it was the current permittee who contributed to construction of the specific improvements”, an </w:t>
      </w:r>
      <w:r w:rsidRPr="00D814D6">
        <w:rPr>
          <w:rFonts w:ascii="Calibri" w:eastAsia="Times New Roman" w:hAnsi="Calibri" w:cs="Calibri"/>
          <w:sz w:val="22"/>
          <w:szCs w:val="22"/>
        </w:rPr>
        <w:lastRenderedPageBreak/>
        <w:t xml:space="preserve">“interest” could have been purchased from the previous permittee and has been maintained and repaired, therefore the “interest” has a value and should be compensated instead of limiting it to “construction”. </w:t>
      </w:r>
      <w:r w:rsidR="00881F3E" w:rsidRPr="00286254">
        <w:rPr>
          <w:rFonts w:ascii="Calibri" w:eastAsia="Times New Roman" w:hAnsi="Calibri" w:cs="Calibri"/>
          <w:sz w:val="22"/>
          <w:szCs w:val="22"/>
        </w:rPr>
        <w:t xml:space="preserve">Catron County </w:t>
      </w:r>
      <w:r w:rsidRPr="00D814D6">
        <w:rPr>
          <w:rFonts w:ascii="Calibri" w:eastAsia="Times New Roman" w:hAnsi="Calibri" w:cs="Calibri"/>
          <w:sz w:val="22"/>
          <w:szCs w:val="22"/>
        </w:rPr>
        <w:t>recommend</w:t>
      </w:r>
      <w:r w:rsidR="00881F3E" w:rsidRPr="00286254">
        <w:rPr>
          <w:rFonts w:ascii="Calibri" w:eastAsia="Times New Roman" w:hAnsi="Calibri" w:cs="Calibri"/>
          <w:sz w:val="22"/>
          <w:szCs w:val="22"/>
        </w:rPr>
        <w:t>s</w:t>
      </w:r>
      <w:r w:rsidRPr="00D814D6">
        <w:rPr>
          <w:rFonts w:ascii="Calibri" w:eastAsia="Times New Roman" w:hAnsi="Calibri" w:cs="Calibri"/>
          <w:sz w:val="22"/>
          <w:szCs w:val="22"/>
        </w:rPr>
        <w:t xml:space="preserve"> deleting “This only applies if it was the current permittee who contributed to construction of the specific improvements.” </w:t>
      </w:r>
      <w:r w:rsidR="00881F3E" w:rsidRPr="00286254">
        <w:rPr>
          <w:rFonts w:ascii="Calibri" w:eastAsia="Times New Roman" w:hAnsi="Calibri" w:cs="Calibri"/>
          <w:sz w:val="22"/>
          <w:szCs w:val="22"/>
        </w:rPr>
        <w:t xml:space="preserve"> Further, if the permit is cancelled to devote lands to another public purpose, Catron County would like assurance that water maintenance is </w:t>
      </w:r>
      <w:r w:rsidR="00881F3E" w:rsidRPr="00286254">
        <w:rPr>
          <w:rFonts w:ascii="Calibri" w:eastAsia="Times New Roman" w:hAnsi="Calibri" w:cs="Calibri"/>
          <w:b/>
          <w:sz w:val="22"/>
          <w:szCs w:val="22"/>
        </w:rPr>
        <w:t xml:space="preserve">required </w:t>
      </w:r>
      <w:r w:rsidR="00881F3E" w:rsidRPr="00286254">
        <w:rPr>
          <w:rFonts w:ascii="Calibri" w:eastAsia="Times New Roman" w:hAnsi="Calibri" w:cs="Calibri"/>
          <w:sz w:val="22"/>
          <w:szCs w:val="22"/>
        </w:rPr>
        <w:t xml:space="preserve">to assure that wildlife isn’t being forced to other allotment with maintained water sources which would then create wildlife conflict with livestock.  </w:t>
      </w:r>
    </w:p>
    <w:p w14:paraId="129F0BBD"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FSM 2200 - RANGELAND MANAGEMENT, CHAPTER - ZERO CODE </w:t>
      </w:r>
    </w:p>
    <w:p w14:paraId="6A285345" w14:textId="77777777" w:rsidR="005245AD" w:rsidRDefault="00D814D6" w:rsidP="005245AD">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FSM 2200 - RANGELAND MANAGEMENT 2201.53 - Livestock Grazing</w:t>
      </w:r>
      <w:r w:rsidRPr="00D814D6">
        <w:rPr>
          <w:rFonts w:ascii="Calibri" w:eastAsia="Times New Roman" w:hAnsi="Calibri" w:cs="Calibri"/>
          <w:b/>
          <w:sz w:val="22"/>
          <w:szCs w:val="22"/>
        </w:rPr>
        <w:br/>
      </w:r>
    </w:p>
    <w:p w14:paraId="79F68B45" w14:textId="6B77B359" w:rsidR="005245AD" w:rsidRPr="00D814D6" w:rsidRDefault="00D814D6" w:rsidP="005245AD">
      <w:pPr>
        <w:spacing w:before="100" w:beforeAutospacing="1" w:after="100" w:afterAutospacing="1"/>
        <w:ind w:firstLine="720"/>
        <w:rPr>
          <w:rFonts w:ascii="Calibri" w:eastAsia="Times New Roman" w:hAnsi="Calibri" w:cs="Calibri"/>
          <w:sz w:val="22"/>
          <w:szCs w:val="22"/>
        </w:rPr>
      </w:pPr>
      <w:r w:rsidRPr="00D814D6">
        <w:rPr>
          <w:rFonts w:ascii="Calibri" w:eastAsia="Times New Roman" w:hAnsi="Calibri" w:cs="Calibri"/>
          <w:sz w:val="22"/>
          <w:szCs w:val="22"/>
        </w:rPr>
        <w:t>Federal law prohibits grazing cattle without a permit on lands within the National Forest System.</w:t>
      </w:r>
      <w:r w:rsidRPr="00D814D6">
        <w:rPr>
          <w:rFonts w:ascii="Calibri" w:eastAsia="Times New Roman" w:hAnsi="Calibri" w:cs="Calibri"/>
          <w:b/>
          <w:sz w:val="22"/>
          <w:szCs w:val="22"/>
        </w:rPr>
        <w:t xml:space="preserve"> </w:t>
      </w:r>
    </w:p>
    <w:p w14:paraId="724E3A68" w14:textId="3EFAD0A4"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881F3E" w:rsidRPr="00286254">
        <w:rPr>
          <w:rFonts w:ascii="Calibri" w:eastAsia="Times New Roman" w:hAnsi="Calibri" w:cs="Calibri"/>
          <w:sz w:val="22"/>
          <w:szCs w:val="22"/>
        </w:rPr>
        <w:t xml:space="preserve">Catron County would like to be provided the citation </w:t>
      </w:r>
      <w:r w:rsidRPr="00D814D6">
        <w:rPr>
          <w:rFonts w:ascii="Calibri" w:eastAsia="Times New Roman" w:hAnsi="Calibri" w:cs="Calibri"/>
          <w:sz w:val="22"/>
          <w:szCs w:val="22"/>
        </w:rPr>
        <w:t xml:space="preserve">for this federal law. What is the specific statute language? </w:t>
      </w:r>
    </w:p>
    <w:p w14:paraId="5657CCE9" w14:textId="77777777" w:rsidR="00881F3E" w:rsidRPr="00286254"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FSM 2200 - RANGELAND MANAGEMENT 2201.55 - Ownership Claims by Others</w:t>
      </w:r>
      <w:r w:rsidRPr="00D814D6">
        <w:rPr>
          <w:rFonts w:ascii="Calibri" w:eastAsia="Times New Roman" w:hAnsi="Calibri" w:cs="Calibri"/>
          <w:sz w:val="22"/>
          <w:szCs w:val="22"/>
        </w:rPr>
        <w:br/>
      </w:r>
    </w:p>
    <w:p w14:paraId="3E23AE5A" w14:textId="37230A88" w:rsidR="00D814D6" w:rsidRPr="00D814D6" w:rsidRDefault="00D814D6" w:rsidP="00881F3E">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Regarding claims of ownership involving Federal lands, the established rule is that land ownership decisions are construed favorably to the Government, unless there is clear language in law directing otherwise, and that if there are doubts they are resolved for the Government, not against it. </w:t>
      </w:r>
    </w:p>
    <w:p w14:paraId="79E49539" w14:textId="27A17FDA"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881F3E" w:rsidRPr="00286254">
        <w:rPr>
          <w:rFonts w:ascii="Calibri" w:eastAsia="Times New Roman" w:hAnsi="Calibri" w:cs="Calibri"/>
          <w:sz w:val="22"/>
          <w:szCs w:val="22"/>
        </w:rPr>
        <w:t>Catron County would like to be provided the</w:t>
      </w:r>
      <w:r w:rsidRPr="00D814D6">
        <w:rPr>
          <w:rFonts w:ascii="Calibri" w:eastAsia="Times New Roman" w:hAnsi="Calibri" w:cs="Calibri"/>
          <w:sz w:val="22"/>
          <w:szCs w:val="22"/>
        </w:rPr>
        <w:t xml:space="preserve"> citations for the statement “if there are doubts they are resolved for the Government”. </w:t>
      </w:r>
    </w:p>
    <w:p w14:paraId="59694950" w14:textId="77777777" w:rsidR="00881F3E" w:rsidRPr="00286254" w:rsidRDefault="00D814D6" w:rsidP="00881F3E">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FSM 2200 - RANGELAND MANAGEMENT 2204 - Exhibit 01 Delegation of Authority</w:t>
      </w:r>
      <w:r w:rsidRPr="00D814D6">
        <w:rPr>
          <w:rFonts w:ascii="Calibri" w:eastAsia="Times New Roman" w:hAnsi="Calibri" w:cs="Calibri"/>
          <w:b/>
          <w:sz w:val="22"/>
          <w:szCs w:val="22"/>
        </w:rPr>
        <w:br/>
      </w:r>
    </w:p>
    <w:p w14:paraId="04F4198B" w14:textId="70A422C2" w:rsidR="00D814D6" w:rsidRPr="00D814D6" w:rsidRDefault="00D814D6" w:rsidP="00881F3E">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Coordinating and cooperating with national livestock and environmental organizations, government agencies, and professional societies to promote sound rangeland management. </w:t>
      </w:r>
    </w:p>
    <w:p w14:paraId="23849422" w14:textId="6211454D"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8056F9" w:rsidRPr="00286254">
        <w:rPr>
          <w:rFonts w:ascii="Calibri" w:eastAsia="Times New Roman" w:hAnsi="Calibri" w:cs="Calibri"/>
          <w:sz w:val="22"/>
          <w:szCs w:val="22"/>
        </w:rPr>
        <w:t xml:space="preserve">Catron County has concerns regarding national livestock and environmental organizations and how they “promote sound range management”.  These organizations have an opinion but that does not mean that they know and understand “sound rangeland management”, “local conditions” </w:t>
      </w:r>
      <w:r w:rsidR="00FA6A4E" w:rsidRPr="00286254">
        <w:rPr>
          <w:rFonts w:ascii="Calibri" w:eastAsia="Times New Roman" w:hAnsi="Calibri" w:cs="Calibri"/>
          <w:sz w:val="22"/>
          <w:szCs w:val="22"/>
        </w:rPr>
        <w:t xml:space="preserve">or </w:t>
      </w:r>
      <w:r w:rsidR="008056F9" w:rsidRPr="00286254">
        <w:rPr>
          <w:rFonts w:ascii="Calibri" w:eastAsia="Times New Roman" w:hAnsi="Calibri" w:cs="Calibri"/>
          <w:sz w:val="22"/>
          <w:szCs w:val="22"/>
        </w:rPr>
        <w:t xml:space="preserve">“consider socio-economic </w:t>
      </w:r>
      <w:r w:rsidRPr="00D814D6">
        <w:rPr>
          <w:rFonts w:ascii="Calibri" w:eastAsia="Times New Roman" w:hAnsi="Calibri" w:cs="Calibri"/>
          <w:sz w:val="22"/>
          <w:szCs w:val="22"/>
        </w:rPr>
        <w:t xml:space="preserve">effects in making decisions implementing rangeland management activities.” Local conditions and issues require </w:t>
      </w:r>
      <w:r w:rsidRPr="00D814D6">
        <w:rPr>
          <w:rFonts w:ascii="Calibri" w:eastAsia="Times New Roman" w:hAnsi="Calibri" w:cs="Calibri"/>
          <w:b/>
          <w:sz w:val="22"/>
          <w:szCs w:val="22"/>
        </w:rPr>
        <w:t xml:space="preserve">local </w:t>
      </w:r>
      <w:r w:rsidRPr="00D814D6">
        <w:rPr>
          <w:rFonts w:ascii="Calibri" w:eastAsia="Times New Roman" w:hAnsi="Calibri" w:cs="Calibri"/>
          <w:sz w:val="22"/>
          <w:szCs w:val="22"/>
        </w:rPr>
        <w:t>solutions, not “national” solutions</w:t>
      </w:r>
      <w:r w:rsidR="008056F9" w:rsidRPr="00286254">
        <w:rPr>
          <w:rFonts w:ascii="Calibri" w:eastAsia="Times New Roman" w:hAnsi="Calibri" w:cs="Calibri"/>
          <w:sz w:val="22"/>
          <w:szCs w:val="22"/>
        </w:rPr>
        <w:t xml:space="preserve"> and certainly not solutions from special interest group.  </w:t>
      </w:r>
      <w:r w:rsidRPr="00D814D6">
        <w:rPr>
          <w:rFonts w:ascii="Calibri" w:eastAsia="Times New Roman" w:hAnsi="Calibri" w:cs="Calibri"/>
          <w:sz w:val="22"/>
          <w:szCs w:val="22"/>
        </w:rPr>
        <w:t xml:space="preserve"> </w:t>
      </w:r>
    </w:p>
    <w:p w14:paraId="30339D64"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FSM 2200 - RANGELAND MANAGEMENT 2205 – DEFINITIONS </w:t>
      </w:r>
    </w:p>
    <w:p w14:paraId="4729D248" w14:textId="77777777" w:rsidR="00D814D6" w:rsidRPr="00D814D6" w:rsidRDefault="00D814D6" w:rsidP="00FA6A4E">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b/>
          <w:sz w:val="22"/>
          <w:szCs w:val="22"/>
        </w:rPr>
        <w:t>Apparent Trend.</w:t>
      </w:r>
      <w:r w:rsidRPr="00D814D6">
        <w:rPr>
          <w:rFonts w:ascii="Calibri" w:eastAsia="Times New Roman" w:hAnsi="Calibri" w:cs="Calibri"/>
          <w:sz w:val="22"/>
          <w:szCs w:val="22"/>
        </w:rPr>
        <w:t xml:space="preserve"> An interpretation of trend based on observation and professional judgment at a single point in time. An assessment, using professional judgment, based on a one-time observation. It includes consideration of such factors as plant vigor, abundance of seedlings and </w:t>
      </w:r>
      <w:r w:rsidRPr="00D814D6">
        <w:rPr>
          <w:rFonts w:ascii="Calibri" w:eastAsia="Times New Roman" w:hAnsi="Calibri" w:cs="Calibri"/>
          <w:sz w:val="22"/>
          <w:szCs w:val="22"/>
        </w:rPr>
        <w:lastRenderedPageBreak/>
        <w:t xml:space="preserve">young plants, accumulation or lack of plant residues on the soil surface, and soil surface characteristics (i.e. crusting, gravel pavement, pedestalled plants, and sheet or rill erosion) (see Interagency Technical Reference 1734-4). </w:t>
      </w:r>
    </w:p>
    <w:p w14:paraId="2A74DC8A" w14:textId="0296EE79"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sz w:val="22"/>
          <w:szCs w:val="22"/>
        </w:rPr>
        <w:t xml:space="preserve">COMMENT: </w:t>
      </w:r>
      <w:r w:rsidR="00FA6A4E" w:rsidRPr="00286254">
        <w:rPr>
          <w:rFonts w:ascii="Calibri" w:eastAsia="Times New Roman" w:hAnsi="Calibri" w:cs="Calibri"/>
          <w:sz w:val="22"/>
          <w:szCs w:val="22"/>
        </w:rPr>
        <w:t xml:space="preserve">How is it possible to determine a “trend” from a “one-time observation”?  </w:t>
      </w:r>
      <w:r w:rsidRPr="00D814D6">
        <w:rPr>
          <w:rFonts w:ascii="Calibri" w:eastAsia="Times New Roman" w:hAnsi="Calibri" w:cs="Calibri"/>
          <w:sz w:val="22"/>
          <w:szCs w:val="22"/>
        </w:rPr>
        <w:t>This definition appears more like an “opinion”.</w:t>
      </w:r>
      <w:r w:rsidR="00FA6A4E" w:rsidRPr="00286254">
        <w:rPr>
          <w:rFonts w:ascii="Calibri" w:eastAsia="Times New Roman" w:hAnsi="Calibri" w:cs="Calibri"/>
          <w:sz w:val="22"/>
          <w:szCs w:val="22"/>
        </w:rPr>
        <w:t xml:space="preserve">  Catron County </w:t>
      </w:r>
      <w:r w:rsidRPr="00D814D6">
        <w:rPr>
          <w:rFonts w:ascii="Calibri" w:eastAsia="Times New Roman" w:hAnsi="Calibri" w:cs="Calibri"/>
          <w:sz w:val="22"/>
          <w:szCs w:val="22"/>
        </w:rPr>
        <w:t xml:space="preserve">recommend deleting this from your directives. </w:t>
      </w:r>
    </w:p>
    <w:p w14:paraId="603D5F71" w14:textId="77777777" w:rsidR="00D814D6" w:rsidRPr="00D814D6" w:rsidRDefault="00D814D6" w:rsidP="00FA6A4E">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b/>
          <w:sz w:val="22"/>
          <w:szCs w:val="22"/>
        </w:rPr>
        <w:t xml:space="preserve">Frequency </w:t>
      </w:r>
      <w:r w:rsidRPr="00D814D6">
        <w:rPr>
          <w:rFonts w:ascii="Calibri" w:eastAsia="Times New Roman" w:hAnsi="Calibri" w:cs="Calibri"/>
          <w:sz w:val="22"/>
          <w:szCs w:val="22"/>
        </w:rPr>
        <w:t xml:space="preserve">(of use as a management tool). The number of times forage plants are defoliated during the grazing period. (see Reed, Floyd, Roy </w:t>
      </w:r>
      <w:proofErr w:type="spellStart"/>
      <w:r w:rsidRPr="00D814D6">
        <w:rPr>
          <w:rFonts w:ascii="Calibri" w:eastAsia="Times New Roman" w:hAnsi="Calibri" w:cs="Calibri"/>
          <w:sz w:val="22"/>
          <w:szCs w:val="22"/>
        </w:rPr>
        <w:t>Roath</w:t>
      </w:r>
      <w:proofErr w:type="spellEnd"/>
      <w:r w:rsidRPr="00D814D6">
        <w:rPr>
          <w:rFonts w:ascii="Calibri" w:eastAsia="Times New Roman" w:hAnsi="Calibri" w:cs="Calibri"/>
          <w:sz w:val="22"/>
          <w:szCs w:val="22"/>
        </w:rPr>
        <w:t xml:space="preserve">, and Dave Bradford. 1999. The Grazing Response Index: A Simple and Effective Method to Evaluate Grazing Impacts. Rangelands 21(4): 3-6.) </w:t>
      </w:r>
    </w:p>
    <w:p w14:paraId="211D1A57" w14:textId="280F5FB3"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An article within Rangelands is hardly an accepted rangeland monitoring method if you want the science and support professional societies then you should use: </w:t>
      </w:r>
      <w:bookmarkStart w:id="0" w:name="_GoBack"/>
      <w:bookmarkEnd w:id="0"/>
      <w:r w:rsidRPr="00D814D6">
        <w:rPr>
          <w:rFonts w:ascii="Calibri" w:eastAsia="Times New Roman" w:hAnsi="Calibri" w:cs="Calibri"/>
          <w:sz w:val="22"/>
          <w:szCs w:val="22"/>
        </w:rPr>
        <w:t>“Frequency- The ratio between the number of sample units that contain a species and the total number of sample units.” Society for Range Management. 1998. Glossary of terms used in range management, fourth edition. Edited by the Glossary Update Task Group, Thomas E. Bedell, Chairman. Used with permission. (</w:t>
      </w:r>
      <w:r w:rsidRPr="00D814D6">
        <w:rPr>
          <w:rFonts w:ascii="Calibri" w:eastAsia="Times New Roman" w:hAnsi="Calibri" w:cs="Calibri"/>
          <w:color w:val="0260BF"/>
          <w:sz w:val="22"/>
          <w:szCs w:val="22"/>
        </w:rPr>
        <w:t>https://globalrangelands.org/glossary/F?term</w:t>
      </w:r>
      <w:r w:rsidRPr="00D814D6">
        <w:rPr>
          <w:rFonts w:ascii="Calibri" w:eastAsia="Times New Roman" w:hAnsi="Calibri" w:cs="Calibri"/>
          <w:sz w:val="22"/>
          <w:szCs w:val="22"/>
        </w:rPr>
        <w:t xml:space="preserve">=) </w:t>
      </w:r>
    </w:p>
    <w:p w14:paraId="74882FE7" w14:textId="77777777" w:rsidR="00D814D6" w:rsidRPr="00D814D6" w:rsidRDefault="00D814D6" w:rsidP="00FA6A4E">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b/>
          <w:sz w:val="22"/>
          <w:szCs w:val="22"/>
        </w:rPr>
        <w:t>Grazing Intensity.</w:t>
      </w:r>
      <w:r w:rsidRPr="00D814D6">
        <w:rPr>
          <w:rFonts w:ascii="Calibri" w:eastAsia="Times New Roman" w:hAnsi="Calibri" w:cs="Calibri"/>
          <w:sz w:val="22"/>
          <w:szCs w:val="22"/>
        </w:rPr>
        <w:t xml:space="preserve"> The degree of herbage removed through grazing and trampling by livestock. Grazing intensity may be described in terms of herbage removed during the grazing and/or growing period or as a utilization level at the end of the growing period. It is important to clearly define how intensity is being viewed and described. Removal of leaf material, when the plant is actively growing can affect root growth which in turn affects future leaf growth. Sufficient leaf area is essential to support plant functions through photosynthesis. Heavy to severe intensity or utilization can affect current plant development and growth as well as growth during subsequent growing seasons (see Reed, Floyd, Roy </w:t>
      </w:r>
      <w:proofErr w:type="spellStart"/>
      <w:r w:rsidRPr="00D814D6">
        <w:rPr>
          <w:rFonts w:ascii="Calibri" w:eastAsia="Times New Roman" w:hAnsi="Calibri" w:cs="Calibri"/>
          <w:sz w:val="22"/>
          <w:szCs w:val="22"/>
        </w:rPr>
        <w:t>Roath</w:t>
      </w:r>
      <w:proofErr w:type="spellEnd"/>
      <w:r w:rsidRPr="00D814D6">
        <w:rPr>
          <w:rFonts w:ascii="Calibri" w:eastAsia="Times New Roman" w:hAnsi="Calibri" w:cs="Calibri"/>
          <w:sz w:val="22"/>
          <w:szCs w:val="22"/>
        </w:rPr>
        <w:t xml:space="preserve">, and Dave Bradford. 1999. The Grazing Response Index: A Simple and Effective Method to Evaluate Grazing Impacts. Rangelands 21(4): 3-6). </w:t>
      </w:r>
    </w:p>
    <w:p w14:paraId="27A2A8E1" w14:textId="77777777"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This appears to be the definition of “use” or “utilization”. We don’t think that you can differentiate “herbage removal” by livestock grazing and non-livestock grazing. We recommend that you consider “stubble heights” to actively manage sufficient leaf area. </w:t>
      </w:r>
    </w:p>
    <w:p w14:paraId="2635923C" w14:textId="77777777" w:rsidR="00D814D6" w:rsidRPr="00D814D6" w:rsidRDefault="00D814D6" w:rsidP="00FA6A4E">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b/>
          <w:sz w:val="22"/>
          <w:szCs w:val="22"/>
        </w:rPr>
        <w:t>Grazing Period.</w:t>
      </w:r>
      <w:r w:rsidRPr="00D814D6">
        <w:rPr>
          <w:rFonts w:ascii="Calibri" w:eastAsia="Times New Roman" w:hAnsi="Calibri" w:cs="Calibri"/>
          <w:sz w:val="22"/>
          <w:szCs w:val="22"/>
        </w:rPr>
        <w:t xml:space="preserve"> The length of time grazing livestock or wildlife occupy a specific land area. The length of time a pasture is exposed to grazing affects many variables such as potential for regrowth of plant material, soil impacts and animal behavior. The grazing period influences the intensity of grazing and the frequency of grazing. It can also influence items tied to animal behavior such as trailing, and trampling such as between loafing and watering areas. </w:t>
      </w:r>
    </w:p>
    <w:p w14:paraId="7037E11C" w14:textId="1788D2AB"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FA6A4E" w:rsidRPr="00286254">
        <w:rPr>
          <w:rFonts w:ascii="Calibri" w:eastAsia="Times New Roman" w:hAnsi="Calibri" w:cs="Calibri"/>
          <w:sz w:val="22"/>
          <w:szCs w:val="22"/>
        </w:rPr>
        <w:t>Catron County questions h</w:t>
      </w:r>
      <w:r w:rsidRPr="00D814D6">
        <w:rPr>
          <w:rFonts w:ascii="Calibri" w:eastAsia="Times New Roman" w:hAnsi="Calibri" w:cs="Calibri"/>
          <w:sz w:val="22"/>
          <w:szCs w:val="22"/>
        </w:rPr>
        <w:t>ow the Forest Service intend</w:t>
      </w:r>
      <w:r w:rsidR="00FA6A4E" w:rsidRPr="00286254">
        <w:rPr>
          <w:rFonts w:ascii="Calibri" w:eastAsia="Times New Roman" w:hAnsi="Calibri" w:cs="Calibri"/>
          <w:sz w:val="22"/>
          <w:szCs w:val="22"/>
        </w:rPr>
        <w:t>s</w:t>
      </w:r>
      <w:r w:rsidRPr="00D814D6">
        <w:rPr>
          <w:rFonts w:ascii="Calibri" w:eastAsia="Times New Roman" w:hAnsi="Calibri" w:cs="Calibri"/>
          <w:sz w:val="22"/>
          <w:szCs w:val="22"/>
        </w:rPr>
        <w:t xml:space="preserve"> to determine when wildlife occupy a specific land area? If the Forest Service is using this to make management decisions or determine compliance with terms and conditions, then there is a need to </w:t>
      </w:r>
      <w:r w:rsidRPr="00D814D6">
        <w:rPr>
          <w:rFonts w:ascii="Calibri" w:eastAsia="Times New Roman" w:hAnsi="Calibri" w:cs="Calibri"/>
          <w:b/>
          <w:sz w:val="22"/>
          <w:szCs w:val="22"/>
        </w:rPr>
        <w:t xml:space="preserve">quantify </w:t>
      </w:r>
      <w:r w:rsidRPr="00D814D6">
        <w:rPr>
          <w:rFonts w:ascii="Calibri" w:eastAsia="Times New Roman" w:hAnsi="Calibri" w:cs="Calibri"/>
          <w:sz w:val="22"/>
          <w:szCs w:val="22"/>
        </w:rPr>
        <w:t xml:space="preserve">when wildlife and livestock are grazing and what are the outcomes for each class of animals. </w:t>
      </w:r>
      <w:r w:rsidR="00FA6A4E" w:rsidRPr="00286254">
        <w:rPr>
          <w:rFonts w:ascii="Calibri" w:eastAsia="Times New Roman" w:hAnsi="Calibri" w:cs="Calibri"/>
          <w:sz w:val="22"/>
          <w:szCs w:val="22"/>
        </w:rPr>
        <w:t>Catron County would like and explanation as how</w:t>
      </w:r>
      <w:r w:rsidRPr="00D814D6">
        <w:rPr>
          <w:rFonts w:ascii="Calibri" w:eastAsia="Times New Roman" w:hAnsi="Calibri" w:cs="Calibri"/>
          <w:sz w:val="22"/>
          <w:szCs w:val="22"/>
        </w:rPr>
        <w:t xml:space="preserve"> this will be determined when there is a combination of livestock and wildlife occupancy. </w:t>
      </w:r>
    </w:p>
    <w:p w14:paraId="2AC3DCCB" w14:textId="77777777" w:rsidR="00D814D6" w:rsidRPr="00D814D6" w:rsidRDefault="00D814D6" w:rsidP="00FA6A4E">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b/>
          <w:sz w:val="22"/>
          <w:szCs w:val="22"/>
        </w:rPr>
        <w:lastRenderedPageBreak/>
        <w:t>Indicator.</w:t>
      </w:r>
      <w:r w:rsidRPr="00D814D6">
        <w:rPr>
          <w:rFonts w:ascii="Calibri" w:eastAsia="Times New Roman" w:hAnsi="Calibri" w:cs="Calibri"/>
          <w:sz w:val="22"/>
          <w:szCs w:val="22"/>
        </w:rPr>
        <w:t xml:space="preserve"> A measure or measurement of an aspect of a sustainability criterion. Indicator has also been defined as a quantitative or qualitative variable that can be measured or described to show trends in a corresponding ecological attribute when observed periodically. Indicators are quantifiable performance measures of outcomes or objectives for attaining criteria designed to assess progress toward desired conditions (see FSM 1905). </w:t>
      </w:r>
    </w:p>
    <w:p w14:paraId="36FA27B2" w14:textId="77777777"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The sentence, “A measure or measurement of an aspect of a sustainability criterion.” Needs more definition than an aspect of a criterion. First, an indicator is “a quantitative or qualitative variable” then they are quantifiable, it appears that you are somehow converting qualitative variables (observations or opinions) into quantifiable measurements to give them credibility. We recommend only using quantitative data, if indicators are quantifiable performance measures. </w:t>
      </w:r>
    </w:p>
    <w:p w14:paraId="35D1AA3C" w14:textId="77777777" w:rsidR="00D814D6" w:rsidRPr="00D814D6" w:rsidRDefault="00D814D6" w:rsidP="00FA6A4E">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b/>
          <w:sz w:val="22"/>
          <w:szCs w:val="22"/>
        </w:rPr>
        <w:t>Monitoring.</w:t>
      </w:r>
      <w:r w:rsidRPr="00D814D6">
        <w:rPr>
          <w:rFonts w:ascii="Calibri" w:eastAsia="Times New Roman" w:hAnsi="Calibri" w:cs="Calibri"/>
          <w:sz w:val="22"/>
          <w:szCs w:val="22"/>
        </w:rPr>
        <w:t xml:space="preserve"> The collection and analysis of repeated observations or measurements over time to detect changes in conditions and values and evaluate progress toward meeting a resource or management objective. A monitoring activity may include an information needs assessment; planning and scheduling; data collection, classification, mapping, data entry, storage and maintenance; product development; evaluation; and reporting phases (see FSM 1940.5). </w:t>
      </w:r>
    </w:p>
    <w:p w14:paraId="749F8538" w14:textId="5605C1F4"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FA6A4E" w:rsidRPr="00286254">
        <w:rPr>
          <w:rFonts w:ascii="Calibri" w:eastAsia="Times New Roman" w:hAnsi="Calibri" w:cs="Calibri"/>
          <w:sz w:val="22"/>
          <w:szCs w:val="22"/>
        </w:rPr>
        <w:t>Again,</w:t>
      </w:r>
      <w:r w:rsidRPr="00D814D6">
        <w:rPr>
          <w:rFonts w:ascii="Calibri" w:eastAsia="Times New Roman" w:hAnsi="Calibri" w:cs="Calibri"/>
          <w:sz w:val="22"/>
          <w:szCs w:val="22"/>
        </w:rPr>
        <w:t xml:space="preserve"> why not use the Society for Rangeland Management definition of monitoring? Monitoring (rangelands)The orderly collection, analysis, and interpretation of resource data to evaluate progress toward meeting management objectives. This process must be conducted over time in order to determine whether or not management objectives are being met. Repeated observations, unless done by the same person will not be comparable, due to individual, bias, values, or perspectives. </w:t>
      </w:r>
    </w:p>
    <w:p w14:paraId="26C6AB82" w14:textId="77777777" w:rsidR="00D814D6" w:rsidRPr="00D814D6" w:rsidRDefault="00D814D6" w:rsidP="00FA6A4E">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b/>
          <w:sz w:val="22"/>
          <w:szCs w:val="22"/>
        </w:rPr>
        <w:t>Rangeland Restoration.</w:t>
      </w:r>
      <w:r w:rsidRPr="00D814D6">
        <w:rPr>
          <w:rFonts w:ascii="Calibri" w:eastAsia="Times New Roman" w:hAnsi="Calibri" w:cs="Calibri"/>
          <w:sz w:val="22"/>
          <w:szCs w:val="22"/>
        </w:rPr>
        <w:t xml:space="preserve"> The process of assisting the recovery of an ecosystem that has been degraded, damaged, or destroyed. Rangeland restoration is an intentional activity that initiates or accelerates the recovery of an ecosystem with respect to its health, integrity, and sustainability. </w:t>
      </w:r>
    </w:p>
    <w:p w14:paraId="2EAE5EF0" w14:textId="70BB3CAF"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FA6A4E" w:rsidRPr="00286254">
        <w:rPr>
          <w:rFonts w:ascii="Calibri" w:eastAsia="Times New Roman" w:hAnsi="Calibri" w:cs="Calibri"/>
          <w:sz w:val="22"/>
          <w:szCs w:val="22"/>
        </w:rPr>
        <w:t xml:space="preserve">Catron County would like to see more clarification or clarity to </w:t>
      </w:r>
      <w:r w:rsidRPr="00D814D6">
        <w:rPr>
          <w:rFonts w:ascii="Calibri" w:eastAsia="Times New Roman" w:hAnsi="Calibri" w:cs="Calibri"/>
          <w:sz w:val="22"/>
          <w:szCs w:val="22"/>
        </w:rPr>
        <w:t xml:space="preserve">make it understandable, such as defining; degraded ecosystem, damaged ecosystem, destroyed ecosystem, ecosystem health and ecosystem integrity, without these being defined their identification would be arbitrary. </w:t>
      </w:r>
    </w:p>
    <w:p w14:paraId="3C9C960E" w14:textId="5A140B05" w:rsidR="00D814D6" w:rsidRPr="00D814D6" w:rsidRDefault="00D814D6" w:rsidP="00BB5D45">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b/>
          <w:sz w:val="22"/>
          <w:szCs w:val="22"/>
        </w:rPr>
        <w:t>Seasonal Utilization.</w:t>
      </w:r>
      <w:r w:rsidRPr="00D814D6">
        <w:rPr>
          <w:rFonts w:ascii="Calibri" w:eastAsia="Times New Roman" w:hAnsi="Calibri" w:cs="Calibri"/>
          <w:sz w:val="22"/>
          <w:szCs w:val="22"/>
        </w:rPr>
        <w:t xml:space="preserve"> The amount of utilization that has occurred before the end of the growing season (see Interagency Technical Reference 1734-3, page 1). </w:t>
      </w:r>
    </w:p>
    <w:p w14:paraId="48FE7059" w14:textId="77777777" w:rsidR="00BB5D45" w:rsidRPr="00286254"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BB5D45" w:rsidRPr="00286254">
        <w:rPr>
          <w:rFonts w:ascii="Calibri" w:eastAsia="Times New Roman" w:hAnsi="Calibri" w:cs="Calibri"/>
          <w:sz w:val="22"/>
          <w:szCs w:val="22"/>
        </w:rPr>
        <w:t xml:space="preserve"> </w:t>
      </w:r>
      <w:r w:rsidRPr="00D814D6">
        <w:rPr>
          <w:rFonts w:ascii="Calibri" w:eastAsia="Times New Roman" w:hAnsi="Calibri" w:cs="Calibri"/>
          <w:sz w:val="22"/>
          <w:szCs w:val="22"/>
        </w:rPr>
        <w:t xml:space="preserve">How is Utilization determined before the end of the growing season, when utilization is defined as </w:t>
      </w:r>
    </w:p>
    <w:p w14:paraId="42E98964" w14:textId="1F3ED858"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sz w:val="22"/>
          <w:szCs w:val="22"/>
        </w:rPr>
        <w:t xml:space="preserve">“Utilization. The proportion or degree of the current year’s forage production that is consumed or destroyed by animals (including insects). The term may refer either to a single plant species, a group of species, or to the vegetation community as a whole (see Interagency Technical Reference (ITR) 1734-3, page 133).” </w:t>
      </w:r>
    </w:p>
    <w:p w14:paraId="14489B05" w14:textId="0C116260" w:rsidR="00D814D6" w:rsidRPr="00D814D6" w:rsidRDefault="00BB5D45" w:rsidP="00D814D6">
      <w:pPr>
        <w:spacing w:before="100" w:beforeAutospacing="1" w:after="100" w:afterAutospacing="1"/>
        <w:rPr>
          <w:rFonts w:ascii="Calibri" w:eastAsia="Times New Roman" w:hAnsi="Calibri" w:cs="Calibri"/>
          <w:sz w:val="22"/>
          <w:szCs w:val="22"/>
        </w:rPr>
      </w:pPr>
      <w:r w:rsidRPr="00286254">
        <w:rPr>
          <w:rFonts w:ascii="Calibri" w:eastAsia="Times New Roman" w:hAnsi="Calibri" w:cs="Calibri"/>
          <w:sz w:val="22"/>
          <w:szCs w:val="22"/>
        </w:rPr>
        <w:t>Catron County r</w:t>
      </w:r>
      <w:r w:rsidR="00D814D6" w:rsidRPr="00D814D6">
        <w:rPr>
          <w:rFonts w:ascii="Calibri" w:eastAsia="Times New Roman" w:hAnsi="Calibri" w:cs="Calibri"/>
          <w:sz w:val="22"/>
          <w:szCs w:val="22"/>
        </w:rPr>
        <w:t>ecommend</w:t>
      </w:r>
      <w:r w:rsidRPr="00286254">
        <w:rPr>
          <w:rFonts w:ascii="Calibri" w:eastAsia="Times New Roman" w:hAnsi="Calibri" w:cs="Calibri"/>
          <w:sz w:val="22"/>
          <w:szCs w:val="22"/>
        </w:rPr>
        <w:t>s</w:t>
      </w:r>
      <w:r w:rsidR="00D814D6" w:rsidRPr="00D814D6">
        <w:rPr>
          <w:rFonts w:ascii="Calibri" w:eastAsia="Times New Roman" w:hAnsi="Calibri" w:cs="Calibri"/>
          <w:sz w:val="22"/>
          <w:szCs w:val="22"/>
        </w:rPr>
        <w:t xml:space="preserve"> that this be changed to the “degree of use on current standing crop”. </w:t>
      </w:r>
    </w:p>
    <w:p w14:paraId="406FD28D" w14:textId="77777777" w:rsidR="00D814D6" w:rsidRPr="00D814D6" w:rsidRDefault="00D814D6" w:rsidP="00BB5D45">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b/>
          <w:sz w:val="22"/>
          <w:szCs w:val="22"/>
        </w:rPr>
        <w:lastRenderedPageBreak/>
        <w:t>Sustainability.</w:t>
      </w:r>
      <w:r w:rsidRPr="00D814D6">
        <w:rPr>
          <w:rFonts w:ascii="Calibri" w:eastAsia="Times New Roman" w:hAnsi="Calibri" w:cs="Calibri"/>
          <w:sz w:val="22"/>
          <w:szCs w:val="22"/>
        </w:rPr>
        <w:t xml:space="preserve"> “Ecological sustainability” refers to the capability of ecosystems to maintain ecological integrity; “economic sustainability” refers to the capability of society to produce and consume or otherwise benefit from goods and services including contributions to jobs and market and nonmarket benefits; and “social sustainability” refers to the capability of society to support the network of relationships, traditions, culture, and activities that connect people to the land and to one another, and support vibrant communities (see 36 CFR 219.19). </w:t>
      </w:r>
    </w:p>
    <w:p w14:paraId="1CED4CDB" w14:textId="7B9D9515"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BB5D45" w:rsidRPr="00286254">
        <w:rPr>
          <w:rFonts w:ascii="Calibri" w:eastAsia="Times New Roman" w:hAnsi="Calibri" w:cs="Calibri"/>
          <w:sz w:val="22"/>
          <w:szCs w:val="22"/>
        </w:rPr>
        <w:t xml:space="preserve">Catron County would request to </w:t>
      </w:r>
      <w:r w:rsidRPr="00D814D6">
        <w:rPr>
          <w:rFonts w:ascii="Calibri" w:eastAsia="Times New Roman" w:hAnsi="Calibri" w:cs="Calibri"/>
          <w:sz w:val="22"/>
          <w:szCs w:val="22"/>
        </w:rPr>
        <w:t xml:space="preserve">define “ecological integrity”. </w:t>
      </w:r>
    </w:p>
    <w:p w14:paraId="648FF057" w14:textId="77777777" w:rsidR="00BB5D45" w:rsidRPr="00286254" w:rsidRDefault="00D814D6" w:rsidP="00BB5D45">
      <w:pPr>
        <w:spacing w:before="100" w:beforeAutospacing="1" w:after="100" w:afterAutospacing="1"/>
        <w:ind w:firstLine="720"/>
        <w:rPr>
          <w:rFonts w:ascii="Calibri" w:eastAsia="Times New Roman" w:hAnsi="Calibri" w:cs="Calibri"/>
          <w:sz w:val="22"/>
          <w:szCs w:val="22"/>
        </w:rPr>
      </w:pPr>
      <w:r w:rsidRPr="00D814D6">
        <w:rPr>
          <w:rFonts w:ascii="Calibri" w:eastAsia="Times New Roman" w:hAnsi="Calibri" w:cs="Calibri"/>
          <w:b/>
          <w:sz w:val="22"/>
          <w:szCs w:val="22"/>
        </w:rPr>
        <w:t>Trend.</w:t>
      </w:r>
      <w:r w:rsidRPr="00D814D6">
        <w:rPr>
          <w:rFonts w:ascii="Calibri" w:eastAsia="Times New Roman" w:hAnsi="Calibri" w:cs="Calibri"/>
          <w:sz w:val="22"/>
          <w:szCs w:val="22"/>
        </w:rPr>
        <w:t xml:space="preserve"> The direction of change in an attribute as observed over time.</w:t>
      </w:r>
      <w:r w:rsidRPr="00D814D6">
        <w:rPr>
          <w:rFonts w:ascii="Calibri" w:eastAsia="Times New Roman" w:hAnsi="Calibri" w:cs="Calibri"/>
          <w:sz w:val="22"/>
          <w:szCs w:val="22"/>
        </w:rPr>
        <w:br/>
      </w:r>
    </w:p>
    <w:p w14:paraId="56AA3B09" w14:textId="236B4056" w:rsidR="00D814D6" w:rsidRPr="00D814D6" w:rsidRDefault="00D814D6" w:rsidP="00BB5D45">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This must be measured or quantifiable data collected by the same repeated methodology and cannot be determined through qualitative monitoring by different individuals. </w:t>
      </w:r>
    </w:p>
    <w:p w14:paraId="5BA79B10" w14:textId="3323FC5E"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FSM 2200 - RANGELAND MANAGEMENT</w:t>
      </w:r>
      <w:r w:rsidRPr="00D814D6">
        <w:rPr>
          <w:rFonts w:ascii="Calibri" w:eastAsia="Times New Roman" w:hAnsi="Calibri" w:cs="Calibri"/>
          <w:b/>
          <w:sz w:val="22"/>
          <w:szCs w:val="22"/>
        </w:rPr>
        <w:br/>
        <w:t xml:space="preserve">CHAPTER 2250 – RANGELAND MANAGEMENT COOPERATION </w:t>
      </w:r>
      <w:r w:rsidR="00BB5D45" w:rsidRPr="00286254">
        <w:rPr>
          <w:rFonts w:ascii="Calibri" w:eastAsia="Times New Roman" w:hAnsi="Calibri" w:cs="Calibri"/>
          <w:sz w:val="22"/>
          <w:szCs w:val="22"/>
        </w:rPr>
        <w:t xml:space="preserve"> </w:t>
      </w:r>
    </w:p>
    <w:p w14:paraId="7B9B7B7F" w14:textId="2EFC1382" w:rsidR="00BB5D45" w:rsidRPr="00286254"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CHAPTER 2250 – RANGELAND MANAGEMENT COOPERATION 2250.3 –</w:t>
      </w:r>
      <w:r w:rsidR="00BB5D45" w:rsidRPr="00286254">
        <w:rPr>
          <w:rFonts w:ascii="Calibri" w:eastAsia="Times New Roman" w:hAnsi="Calibri" w:cs="Calibri"/>
          <w:b/>
          <w:sz w:val="22"/>
          <w:szCs w:val="22"/>
        </w:rPr>
        <w:t xml:space="preserve"> </w:t>
      </w:r>
      <w:r w:rsidR="00BB5D45" w:rsidRPr="00D814D6">
        <w:rPr>
          <w:rFonts w:ascii="Calibri" w:eastAsia="Times New Roman" w:hAnsi="Calibri" w:cs="Calibri"/>
          <w:b/>
          <w:sz w:val="22"/>
          <w:szCs w:val="22"/>
        </w:rPr>
        <w:t>Policy</w:t>
      </w:r>
    </w:p>
    <w:p w14:paraId="47F4AA00" w14:textId="48A3B631" w:rsidR="00D814D6" w:rsidRPr="00D814D6" w:rsidRDefault="00D814D6" w:rsidP="00BB5D45">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Coordinate and cooperate with local residents and organizations in the rural communities in which agency employees live and work. </w:t>
      </w:r>
    </w:p>
    <w:p w14:paraId="68D9D6DF" w14:textId="7E63DCD9" w:rsidR="00D814D6" w:rsidRPr="00D814D6" w:rsidRDefault="00D814D6" w:rsidP="00BB5D45">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BB5D45" w:rsidRPr="00286254">
        <w:rPr>
          <w:rFonts w:ascii="Calibri" w:eastAsia="Times New Roman" w:hAnsi="Calibri" w:cs="Calibri"/>
          <w:sz w:val="22"/>
          <w:szCs w:val="22"/>
        </w:rPr>
        <w:t xml:space="preserve">Catron County recommends that coordination and cooperation be with the permittee who is economically dependent on the rangelands.  This should be done </w:t>
      </w:r>
      <w:r w:rsidR="00BB5D45" w:rsidRPr="00286254">
        <w:rPr>
          <w:rFonts w:ascii="Calibri" w:eastAsia="Times New Roman" w:hAnsi="Calibri" w:cs="Calibri"/>
          <w:b/>
          <w:sz w:val="22"/>
          <w:szCs w:val="22"/>
        </w:rPr>
        <w:t>before</w:t>
      </w:r>
      <w:r w:rsidR="00BB5D45" w:rsidRPr="00286254">
        <w:rPr>
          <w:rFonts w:ascii="Calibri" w:eastAsia="Times New Roman" w:hAnsi="Calibri" w:cs="Calibri"/>
          <w:sz w:val="22"/>
          <w:szCs w:val="22"/>
        </w:rPr>
        <w:t xml:space="preserve"> cooperating with residents and organizations.  </w:t>
      </w:r>
    </w:p>
    <w:p w14:paraId="081507BA"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2250 – RANGELAND MANAGEMENT COOPERATION 2252.21 - Cooperation Regarding Contagious Diseases </w:t>
      </w:r>
    </w:p>
    <w:p w14:paraId="29D60E76" w14:textId="55969E89" w:rsidR="00D814D6" w:rsidRPr="00D814D6" w:rsidRDefault="00D814D6" w:rsidP="00BB5D45">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t xml:space="preserve">Most Allotment Management Plans and Annual Operating Instructions (or similar document) address the disposal of dead animals, but that has typically applied to an animal dying of “natural causes” or being struck by lightning, etc. In such cases, burying and burning are no longer acceptable forms of disposal of the dead animal; instead, the permittee needs to remove the animal or call a rendering service to do so. </w:t>
      </w:r>
    </w:p>
    <w:p w14:paraId="13F59EEF" w14:textId="32512A17"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BB5D45" w:rsidRPr="00286254">
        <w:rPr>
          <w:rFonts w:ascii="Calibri" w:eastAsia="Times New Roman" w:hAnsi="Calibri" w:cs="Calibri"/>
          <w:sz w:val="22"/>
          <w:szCs w:val="22"/>
        </w:rPr>
        <w:t>Catron County feels that this management practice is unreasonable in that t</w:t>
      </w:r>
      <w:r w:rsidRPr="00D814D6">
        <w:rPr>
          <w:rFonts w:ascii="Calibri" w:eastAsia="Times New Roman" w:hAnsi="Calibri" w:cs="Calibri"/>
          <w:sz w:val="22"/>
          <w:szCs w:val="22"/>
        </w:rPr>
        <w:t xml:space="preserve">opography, forest conditions, closed roads, and </w:t>
      </w:r>
      <w:r w:rsidR="00BB5D45" w:rsidRPr="00286254">
        <w:rPr>
          <w:rFonts w:ascii="Calibri" w:eastAsia="Times New Roman" w:hAnsi="Calibri" w:cs="Calibri"/>
          <w:sz w:val="22"/>
          <w:szCs w:val="22"/>
        </w:rPr>
        <w:t>off-road</w:t>
      </w:r>
      <w:r w:rsidRPr="00D814D6">
        <w:rPr>
          <w:rFonts w:ascii="Calibri" w:eastAsia="Times New Roman" w:hAnsi="Calibri" w:cs="Calibri"/>
          <w:sz w:val="22"/>
          <w:szCs w:val="22"/>
        </w:rPr>
        <w:t xml:space="preserve"> rules </w:t>
      </w:r>
      <w:r w:rsidR="00BB5D45" w:rsidRPr="00286254">
        <w:rPr>
          <w:rFonts w:ascii="Calibri" w:eastAsia="Times New Roman" w:hAnsi="Calibri" w:cs="Calibri"/>
          <w:sz w:val="22"/>
          <w:szCs w:val="22"/>
        </w:rPr>
        <w:t xml:space="preserve">make it impossible </w:t>
      </w:r>
      <w:r w:rsidRPr="00D814D6">
        <w:rPr>
          <w:rFonts w:ascii="Calibri" w:eastAsia="Times New Roman" w:hAnsi="Calibri" w:cs="Calibri"/>
          <w:sz w:val="22"/>
          <w:szCs w:val="22"/>
        </w:rPr>
        <w:t xml:space="preserve">to remove animals or call “a rendering service to do so”. </w:t>
      </w:r>
      <w:r w:rsidR="00BB5D45" w:rsidRPr="00286254">
        <w:rPr>
          <w:rFonts w:ascii="Calibri" w:eastAsia="Times New Roman" w:hAnsi="Calibri" w:cs="Calibri"/>
          <w:sz w:val="22"/>
          <w:szCs w:val="22"/>
        </w:rPr>
        <w:t xml:space="preserve"> With the negative impact to livestock that the Mexican Gray Wolf creates and with the increasing livestock depredation due to the wolf, this practice is unreasonable and unfeasible. </w:t>
      </w:r>
    </w:p>
    <w:p w14:paraId="50DEF709"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FSH 2209.16 – ALLOTMENT MANAGEMENT HANDBOOK</w:t>
      </w:r>
      <w:r w:rsidRPr="00D814D6">
        <w:rPr>
          <w:rFonts w:ascii="Calibri" w:eastAsia="Times New Roman" w:hAnsi="Calibri" w:cs="Calibri"/>
          <w:b/>
          <w:sz w:val="22"/>
          <w:szCs w:val="22"/>
        </w:rPr>
        <w:br/>
        <w:t xml:space="preserve">CHAPTER 10 – ALLOTMENT MANAGEMENT AND ADMINISTRATION </w:t>
      </w:r>
    </w:p>
    <w:p w14:paraId="14B807A9" w14:textId="77777777" w:rsidR="00D814D6" w:rsidRPr="00D814D6" w:rsidRDefault="00D814D6" w:rsidP="00D814D6">
      <w:pPr>
        <w:spacing w:before="100" w:beforeAutospacing="1" w:after="100" w:afterAutospacing="1"/>
        <w:rPr>
          <w:rFonts w:ascii="Calibri" w:eastAsia="Times New Roman" w:hAnsi="Calibri" w:cs="Calibri"/>
          <w:b/>
          <w:sz w:val="22"/>
          <w:szCs w:val="22"/>
        </w:rPr>
      </w:pPr>
      <w:r w:rsidRPr="00D814D6">
        <w:rPr>
          <w:rFonts w:ascii="Calibri" w:eastAsia="Times New Roman" w:hAnsi="Calibri" w:cs="Calibri"/>
          <w:b/>
          <w:sz w:val="22"/>
          <w:szCs w:val="22"/>
        </w:rPr>
        <w:t xml:space="preserve">CHAPTER 10 – ALLOTMENT MANAGEMENT AND ADMINISTRATION 10.54 - Decisions to Close Grazing Allotments </w:t>
      </w:r>
    </w:p>
    <w:p w14:paraId="730AADBE" w14:textId="77777777" w:rsidR="00D814D6" w:rsidRPr="00D814D6" w:rsidRDefault="00D814D6" w:rsidP="00286254">
      <w:pPr>
        <w:spacing w:before="100" w:beforeAutospacing="1" w:after="100" w:afterAutospacing="1"/>
        <w:ind w:left="720"/>
        <w:rPr>
          <w:rFonts w:ascii="Calibri" w:eastAsia="Times New Roman" w:hAnsi="Calibri" w:cs="Calibri"/>
          <w:sz w:val="22"/>
          <w:szCs w:val="22"/>
        </w:rPr>
      </w:pPr>
      <w:r w:rsidRPr="00D814D6">
        <w:rPr>
          <w:rFonts w:ascii="Calibri" w:eastAsia="Times New Roman" w:hAnsi="Calibri" w:cs="Calibri"/>
          <w:sz w:val="22"/>
          <w:szCs w:val="22"/>
        </w:rPr>
        <w:lastRenderedPageBreak/>
        <w:t xml:space="preserve">Although not required by law or regulation, Agency policy states that an active allotment, forage reserve, or vacant allotment can ONLY be closed through an LMP or a project-level environmental analysis and decision. The analysis should also look at the effects on other resources (e.g. feral horses, ESA listed species, etc.). </w:t>
      </w:r>
    </w:p>
    <w:p w14:paraId="7BB83992" w14:textId="5652BE4B" w:rsidR="00D814D6" w:rsidRPr="00D814D6" w:rsidRDefault="00D814D6" w:rsidP="00D814D6">
      <w:pPr>
        <w:spacing w:before="100" w:beforeAutospacing="1" w:after="100" w:afterAutospacing="1"/>
        <w:rPr>
          <w:rFonts w:ascii="Calibri" w:eastAsia="Times New Roman" w:hAnsi="Calibri" w:cs="Calibri"/>
          <w:sz w:val="22"/>
          <w:szCs w:val="22"/>
        </w:rPr>
      </w:pPr>
      <w:r w:rsidRPr="00D814D6">
        <w:rPr>
          <w:rFonts w:ascii="Calibri" w:eastAsia="Times New Roman" w:hAnsi="Calibri" w:cs="Calibri"/>
          <w:b/>
          <w:sz w:val="22"/>
          <w:szCs w:val="22"/>
        </w:rPr>
        <w:t>COMMENT:</w:t>
      </w:r>
      <w:r w:rsidRPr="00D814D6">
        <w:rPr>
          <w:rFonts w:ascii="Calibri" w:eastAsia="Times New Roman" w:hAnsi="Calibri" w:cs="Calibri"/>
          <w:sz w:val="22"/>
          <w:szCs w:val="22"/>
        </w:rPr>
        <w:t xml:space="preserve"> </w:t>
      </w:r>
      <w:r w:rsidR="00286254" w:rsidRPr="00286254">
        <w:rPr>
          <w:rFonts w:ascii="Calibri" w:eastAsia="Times New Roman" w:hAnsi="Calibri" w:cs="Calibri"/>
          <w:sz w:val="22"/>
          <w:szCs w:val="22"/>
        </w:rPr>
        <w:t xml:space="preserve">Catron County would like clarification on how the Forest Service now considers </w:t>
      </w:r>
      <w:r w:rsidRPr="00D814D6">
        <w:rPr>
          <w:rFonts w:ascii="Calibri" w:eastAsia="Times New Roman" w:hAnsi="Calibri" w:cs="Calibri"/>
          <w:sz w:val="22"/>
          <w:szCs w:val="22"/>
        </w:rPr>
        <w:t xml:space="preserve">unauthorized livestock, “feral horses” as a resource? Are authorized livestock also a resource and were they considered in the decision as forage reserve or vacate the allotment? </w:t>
      </w:r>
      <w:r w:rsidR="00286254" w:rsidRPr="00286254">
        <w:rPr>
          <w:rFonts w:ascii="Calibri" w:eastAsia="Times New Roman" w:hAnsi="Calibri" w:cs="Calibri"/>
          <w:sz w:val="22"/>
          <w:szCs w:val="22"/>
        </w:rPr>
        <w:t xml:space="preserve"> Catron County must again stress that vacant allotments be maintained for water sources to alleviate wildlife conflict when, in the search for water sources, wildlife, and most concerning, apex predators travel to allotments with adequate water sources.  </w:t>
      </w:r>
    </w:p>
    <w:p w14:paraId="11D781BD" w14:textId="7D80E2D3" w:rsidR="00D814D6" w:rsidRPr="00286254" w:rsidRDefault="00286254">
      <w:pPr>
        <w:rPr>
          <w:rFonts w:ascii="Calibri" w:eastAsia="Times New Roman" w:hAnsi="Calibri" w:cs="Calibri"/>
          <w:sz w:val="22"/>
          <w:szCs w:val="22"/>
        </w:rPr>
      </w:pPr>
      <w:r w:rsidRPr="00286254">
        <w:rPr>
          <w:rFonts w:ascii="Calibri" w:eastAsia="Times New Roman" w:hAnsi="Calibri" w:cs="Calibri"/>
          <w:sz w:val="22"/>
          <w:szCs w:val="22"/>
        </w:rPr>
        <w:t xml:space="preserve">Thank you for the opportunity to submit comments on behalf of the Board of Catron County Commissioners. </w:t>
      </w:r>
    </w:p>
    <w:p w14:paraId="548AB542" w14:textId="68588183" w:rsidR="00286254" w:rsidRPr="00286254" w:rsidRDefault="00286254">
      <w:pPr>
        <w:rPr>
          <w:rFonts w:ascii="Calibri" w:hAnsi="Calibri" w:cs="Calibri"/>
          <w:sz w:val="22"/>
          <w:szCs w:val="22"/>
        </w:rPr>
      </w:pPr>
    </w:p>
    <w:p w14:paraId="266D64F2" w14:textId="0608F653" w:rsidR="00286254" w:rsidRPr="00286254" w:rsidRDefault="00286254">
      <w:pPr>
        <w:rPr>
          <w:rFonts w:ascii="Calibri" w:hAnsi="Calibri" w:cs="Calibri"/>
          <w:sz w:val="22"/>
          <w:szCs w:val="22"/>
        </w:rPr>
      </w:pPr>
      <w:r w:rsidRPr="00286254">
        <w:rPr>
          <w:rFonts w:ascii="Calibri" w:hAnsi="Calibri" w:cs="Calibri"/>
          <w:sz w:val="22"/>
          <w:szCs w:val="22"/>
        </w:rPr>
        <w:t>Respectfully submitted,</w:t>
      </w:r>
    </w:p>
    <w:p w14:paraId="20DE8B12" w14:textId="1489FEDE" w:rsidR="00286254" w:rsidRPr="00286254" w:rsidRDefault="00286254">
      <w:pPr>
        <w:rPr>
          <w:rFonts w:ascii="Calibri" w:hAnsi="Calibri" w:cs="Calibri"/>
          <w:sz w:val="22"/>
          <w:szCs w:val="22"/>
        </w:rPr>
      </w:pPr>
    </w:p>
    <w:p w14:paraId="0D034F83" w14:textId="05B8DF96" w:rsidR="00286254" w:rsidRPr="00286254" w:rsidRDefault="00286254">
      <w:pPr>
        <w:rPr>
          <w:rFonts w:ascii="Calibri" w:hAnsi="Calibri" w:cs="Calibri"/>
          <w:sz w:val="22"/>
          <w:szCs w:val="22"/>
        </w:rPr>
      </w:pPr>
      <w:r w:rsidRPr="00286254">
        <w:rPr>
          <w:rFonts w:ascii="Calibri" w:hAnsi="Calibri" w:cs="Calibri"/>
          <w:sz w:val="22"/>
          <w:szCs w:val="22"/>
        </w:rPr>
        <w:t>Bill Green</w:t>
      </w:r>
    </w:p>
    <w:p w14:paraId="20663012" w14:textId="2B8558C3" w:rsidR="00286254" w:rsidRPr="00286254" w:rsidRDefault="00286254">
      <w:pPr>
        <w:rPr>
          <w:rFonts w:ascii="Calibri" w:hAnsi="Calibri" w:cs="Calibri"/>
          <w:sz w:val="22"/>
          <w:szCs w:val="22"/>
        </w:rPr>
      </w:pPr>
      <w:r w:rsidRPr="00286254">
        <w:rPr>
          <w:rFonts w:ascii="Calibri" w:hAnsi="Calibri" w:cs="Calibri"/>
          <w:sz w:val="22"/>
          <w:szCs w:val="22"/>
        </w:rPr>
        <w:t>Catron County Manager</w:t>
      </w:r>
    </w:p>
    <w:p w14:paraId="35AB0848" w14:textId="3E80D529" w:rsidR="00286254" w:rsidRPr="00286254" w:rsidRDefault="00286254">
      <w:pPr>
        <w:rPr>
          <w:rFonts w:ascii="Calibri" w:hAnsi="Calibri" w:cs="Calibri"/>
          <w:sz w:val="22"/>
          <w:szCs w:val="22"/>
        </w:rPr>
      </w:pPr>
      <w:r w:rsidRPr="00286254">
        <w:rPr>
          <w:rFonts w:ascii="Calibri" w:hAnsi="Calibri" w:cs="Calibri"/>
          <w:sz w:val="22"/>
          <w:szCs w:val="22"/>
        </w:rPr>
        <w:t>575-533-6423</w:t>
      </w:r>
    </w:p>
    <w:sectPr w:rsidR="00286254" w:rsidRPr="00286254" w:rsidSect="00C90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92"/>
    <w:rsid w:val="000030EB"/>
    <w:rsid w:val="000A70B1"/>
    <w:rsid w:val="00200E85"/>
    <w:rsid w:val="00246CA7"/>
    <w:rsid w:val="002775CA"/>
    <w:rsid w:val="00286254"/>
    <w:rsid w:val="00302AD8"/>
    <w:rsid w:val="003558EF"/>
    <w:rsid w:val="00387BC2"/>
    <w:rsid w:val="005245AD"/>
    <w:rsid w:val="005F1B94"/>
    <w:rsid w:val="006B06A2"/>
    <w:rsid w:val="008056F9"/>
    <w:rsid w:val="0087191D"/>
    <w:rsid w:val="00881F3E"/>
    <w:rsid w:val="00933F9B"/>
    <w:rsid w:val="00A2126E"/>
    <w:rsid w:val="00BB5D45"/>
    <w:rsid w:val="00C059D5"/>
    <w:rsid w:val="00C90274"/>
    <w:rsid w:val="00C93D0F"/>
    <w:rsid w:val="00CC0067"/>
    <w:rsid w:val="00D814D6"/>
    <w:rsid w:val="00DF6124"/>
    <w:rsid w:val="00F24D8A"/>
    <w:rsid w:val="00F41692"/>
    <w:rsid w:val="00F958B1"/>
    <w:rsid w:val="00F97CD5"/>
    <w:rsid w:val="00FA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261C"/>
  <w15:chartTrackingRefBased/>
  <w15:docId w15:val="{A58AD26B-1A7D-4897-AF44-0A1936D4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692"/>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69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1692"/>
  </w:style>
  <w:style w:type="table" w:styleId="TableGrid">
    <w:name w:val="Table Grid"/>
    <w:basedOn w:val="TableNormal"/>
    <w:uiPriority w:val="59"/>
    <w:rsid w:val="00F41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14D6"/>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90034">
      <w:bodyDiv w:val="1"/>
      <w:marLeft w:val="0"/>
      <w:marRight w:val="0"/>
      <w:marTop w:val="0"/>
      <w:marBottom w:val="0"/>
      <w:divBdr>
        <w:top w:val="none" w:sz="0" w:space="0" w:color="auto"/>
        <w:left w:val="none" w:sz="0" w:space="0" w:color="auto"/>
        <w:bottom w:val="none" w:sz="0" w:space="0" w:color="auto"/>
        <w:right w:val="none" w:sz="0" w:space="0" w:color="auto"/>
      </w:divBdr>
      <w:divsChild>
        <w:div w:id="170528771">
          <w:marLeft w:val="0"/>
          <w:marRight w:val="0"/>
          <w:marTop w:val="0"/>
          <w:marBottom w:val="0"/>
          <w:divBdr>
            <w:top w:val="none" w:sz="0" w:space="0" w:color="auto"/>
            <w:left w:val="none" w:sz="0" w:space="0" w:color="auto"/>
            <w:bottom w:val="none" w:sz="0" w:space="0" w:color="auto"/>
            <w:right w:val="none" w:sz="0" w:space="0" w:color="auto"/>
          </w:divBdr>
          <w:divsChild>
            <w:div w:id="1850412072">
              <w:marLeft w:val="0"/>
              <w:marRight w:val="0"/>
              <w:marTop w:val="0"/>
              <w:marBottom w:val="0"/>
              <w:divBdr>
                <w:top w:val="none" w:sz="0" w:space="0" w:color="auto"/>
                <w:left w:val="none" w:sz="0" w:space="0" w:color="auto"/>
                <w:bottom w:val="none" w:sz="0" w:space="0" w:color="auto"/>
                <w:right w:val="none" w:sz="0" w:space="0" w:color="auto"/>
              </w:divBdr>
              <w:divsChild>
                <w:div w:id="959607789">
                  <w:marLeft w:val="0"/>
                  <w:marRight w:val="0"/>
                  <w:marTop w:val="0"/>
                  <w:marBottom w:val="0"/>
                  <w:divBdr>
                    <w:top w:val="none" w:sz="0" w:space="0" w:color="auto"/>
                    <w:left w:val="none" w:sz="0" w:space="0" w:color="auto"/>
                    <w:bottom w:val="none" w:sz="0" w:space="0" w:color="auto"/>
                    <w:right w:val="none" w:sz="0" w:space="0" w:color="auto"/>
                  </w:divBdr>
                </w:div>
              </w:divsChild>
            </w:div>
            <w:div w:id="209146396">
              <w:marLeft w:val="0"/>
              <w:marRight w:val="0"/>
              <w:marTop w:val="0"/>
              <w:marBottom w:val="0"/>
              <w:divBdr>
                <w:top w:val="none" w:sz="0" w:space="0" w:color="auto"/>
                <w:left w:val="none" w:sz="0" w:space="0" w:color="auto"/>
                <w:bottom w:val="none" w:sz="0" w:space="0" w:color="auto"/>
                <w:right w:val="none" w:sz="0" w:space="0" w:color="auto"/>
              </w:divBdr>
              <w:divsChild>
                <w:div w:id="1573545401">
                  <w:marLeft w:val="0"/>
                  <w:marRight w:val="0"/>
                  <w:marTop w:val="0"/>
                  <w:marBottom w:val="0"/>
                  <w:divBdr>
                    <w:top w:val="none" w:sz="0" w:space="0" w:color="auto"/>
                    <w:left w:val="none" w:sz="0" w:space="0" w:color="auto"/>
                    <w:bottom w:val="none" w:sz="0" w:space="0" w:color="auto"/>
                    <w:right w:val="none" w:sz="0" w:space="0" w:color="auto"/>
                  </w:divBdr>
                </w:div>
              </w:divsChild>
            </w:div>
            <w:div w:id="1089039949">
              <w:marLeft w:val="0"/>
              <w:marRight w:val="0"/>
              <w:marTop w:val="0"/>
              <w:marBottom w:val="0"/>
              <w:divBdr>
                <w:top w:val="none" w:sz="0" w:space="0" w:color="auto"/>
                <w:left w:val="none" w:sz="0" w:space="0" w:color="auto"/>
                <w:bottom w:val="none" w:sz="0" w:space="0" w:color="auto"/>
                <w:right w:val="none" w:sz="0" w:space="0" w:color="auto"/>
              </w:divBdr>
              <w:divsChild>
                <w:div w:id="318383418">
                  <w:marLeft w:val="0"/>
                  <w:marRight w:val="0"/>
                  <w:marTop w:val="0"/>
                  <w:marBottom w:val="0"/>
                  <w:divBdr>
                    <w:top w:val="none" w:sz="0" w:space="0" w:color="auto"/>
                    <w:left w:val="none" w:sz="0" w:space="0" w:color="auto"/>
                    <w:bottom w:val="none" w:sz="0" w:space="0" w:color="auto"/>
                    <w:right w:val="none" w:sz="0" w:space="0" w:color="auto"/>
                  </w:divBdr>
                </w:div>
              </w:divsChild>
            </w:div>
            <w:div w:id="1940063844">
              <w:marLeft w:val="0"/>
              <w:marRight w:val="0"/>
              <w:marTop w:val="0"/>
              <w:marBottom w:val="0"/>
              <w:divBdr>
                <w:top w:val="none" w:sz="0" w:space="0" w:color="auto"/>
                <w:left w:val="none" w:sz="0" w:space="0" w:color="auto"/>
                <w:bottom w:val="none" w:sz="0" w:space="0" w:color="auto"/>
                <w:right w:val="none" w:sz="0" w:space="0" w:color="auto"/>
              </w:divBdr>
              <w:divsChild>
                <w:div w:id="498738675">
                  <w:marLeft w:val="0"/>
                  <w:marRight w:val="0"/>
                  <w:marTop w:val="0"/>
                  <w:marBottom w:val="0"/>
                  <w:divBdr>
                    <w:top w:val="none" w:sz="0" w:space="0" w:color="auto"/>
                    <w:left w:val="none" w:sz="0" w:space="0" w:color="auto"/>
                    <w:bottom w:val="none" w:sz="0" w:space="0" w:color="auto"/>
                    <w:right w:val="none" w:sz="0" w:space="0" w:color="auto"/>
                  </w:divBdr>
                </w:div>
              </w:divsChild>
            </w:div>
            <w:div w:id="1560432583">
              <w:marLeft w:val="0"/>
              <w:marRight w:val="0"/>
              <w:marTop w:val="0"/>
              <w:marBottom w:val="0"/>
              <w:divBdr>
                <w:top w:val="none" w:sz="0" w:space="0" w:color="auto"/>
                <w:left w:val="none" w:sz="0" w:space="0" w:color="auto"/>
                <w:bottom w:val="none" w:sz="0" w:space="0" w:color="auto"/>
                <w:right w:val="none" w:sz="0" w:space="0" w:color="auto"/>
              </w:divBdr>
              <w:divsChild>
                <w:div w:id="982781625">
                  <w:marLeft w:val="0"/>
                  <w:marRight w:val="0"/>
                  <w:marTop w:val="0"/>
                  <w:marBottom w:val="0"/>
                  <w:divBdr>
                    <w:top w:val="none" w:sz="0" w:space="0" w:color="auto"/>
                    <w:left w:val="none" w:sz="0" w:space="0" w:color="auto"/>
                    <w:bottom w:val="none" w:sz="0" w:space="0" w:color="auto"/>
                    <w:right w:val="none" w:sz="0" w:space="0" w:color="auto"/>
                  </w:divBdr>
                </w:div>
              </w:divsChild>
            </w:div>
            <w:div w:id="573272829">
              <w:marLeft w:val="0"/>
              <w:marRight w:val="0"/>
              <w:marTop w:val="0"/>
              <w:marBottom w:val="0"/>
              <w:divBdr>
                <w:top w:val="none" w:sz="0" w:space="0" w:color="auto"/>
                <w:left w:val="none" w:sz="0" w:space="0" w:color="auto"/>
                <w:bottom w:val="none" w:sz="0" w:space="0" w:color="auto"/>
                <w:right w:val="none" w:sz="0" w:space="0" w:color="auto"/>
              </w:divBdr>
              <w:divsChild>
                <w:div w:id="8928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0165">
          <w:marLeft w:val="0"/>
          <w:marRight w:val="0"/>
          <w:marTop w:val="0"/>
          <w:marBottom w:val="0"/>
          <w:divBdr>
            <w:top w:val="none" w:sz="0" w:space="0" w:color="auto"/>
            <w:left w:val="none" w:sz="0" w:space="0" w:color="auto"/>
            <w:bottom w:val="none" w:sz="0" w:space="0" w:color="auto"/>
            <w:right w:val="none" w:sz="0" w:space="0" w:color="auto"/>
          </w:divBdr>
          <w:divsChild>
            <w:div w:id="1915697644">
              <w:marLeft w:val="0"/>
              <w:marRight w:val="0"/>
              <w:marTop w:val="0"/>
              <w:marBottom w:val="0"/>
              <w:divBdr>
                <w:top w:val="none" w:sz="0" w:space="0" w:color="auto"/>
                <w:left w:val="none" w:sz="0" w:space="0" w:color="auto"/>
                <w:bottom w:val="none" w:sz="0" w:space="0" w:color="auto"/>
                <w:right w:val="none" w:sz="0" w:space="0" w:color="auto"/>
              </w:divBdr>
              <w:divsChild>
                <w:div w:id="1215896491">
                  <w:marLeft w:val="0"/>
                  <w:marRight w:val="0"/>
                  <w:marTop w:val="0"/>
                  <w:marBottom w:val="0"/>
                  <w:divBdr>
                    <w:top w:val="none" w:sz="0" w:space="0" w:color="auto"/>
                    <w:left w:val="none" w:sz="0" w:space="0" w:color="auto"/>
                    <w:bottom w:val="none" w:sz="0" w:space="0" w:color="auto"/>
                    <w:right w:val="none" w:sz="0" w:space="0" w:color="auto"/>
                  </w:divBdr>
                </w:div>
              </w:divsChild>
            </w:div>
            <w:div w:id="1452823278">
              <w:marLeft w:val="0"/>
              <w:marRight w:val="0"/>
              <w:marTop w:val="0"/>
              <w:marBottom w:val="0"/>
              <w:divBdr>
                <w:top w:val="none" w:sz="0" w:space="0" w:color="auto"/>
                <w:left w:val="none" w:sz="0" w:space="0" w:color="auto"/>
                <w:bottom w:val="none" w:sz="0" w:space="0" w:color="auto"/>
                <w:right w:val="none" w:sz="0" w:space="0" w:color="auto"/>
              </w:divBdr>
              <w:divsChild>
                <w:div w:id="732504802">
                  <w:marLeft w:val="0"/>
                  <w:marRight w:val="0"/>
                  <w:marTop w:val="0"/>
                  <w:marBottom w:val="0"/>
                  <w:divBdr>
                    <w:top w:val="none" w:sz="0" w:space="0" w:color="auto"/>
                    <w:left w:val="none" w:sz="0" w:space="0" w:color="auto"/>
                    <w:bottom w:val="none" w:sz="0" w:space="0" w:color="auto"/>
                    <w:right w:val="none" w:sz="0" w:space="0" w:color="auto"/>
                  </w:divBdr>
                </w:div>
              </w:divsChild>
            </w:div>
            <w:div w:id="1058167019">
              <w:marLeft w:val="0"/>
              <w:marRight w:val="0"/>
              <w:marTop w:val="0"/>
              <w:marBottom w:val="0"/>
              <w:divBdr>
                <w:top w:val="none" w:sz="0" w:space="0" w:color="auto"/>
                <w:left w:val="none" w:sz="0" w:space="0" w:color="auto"/>
                <w:bottom w:val="none" w:sz="0" w:space="0" w:color="auto"/>
                <w:right w:val="none" w:sz="0" w:space="0" w:color="auto"/>
              </w:divBdr>
              <w:divsChild>
                <w:div w:id="248471530">
                  <w:marLeft w:val="0"/>
                  <w:marRight w:val="0"/>
                  <w:marTop w:val="0"/>
                  <w:marBottom w:val="0"/>
                  <w:divBdr>
                    <w:top w:val="none" w:sz="0" w:space="0" w:color="auto"/>
                    <w:left w:val="none" w:sz="0" w:space="0" w:color="auto"/>
                    <w:bottom w:val="none" w:sz="0" w:space="0" w:color="auto"/>
                    <w:right w:val="none" w:sz="0" w:space="0" w:color="auto"/>
                  </w:divBdr>
                </w:div>
              </w:divsChild>
            </w:div>
            <w:div w:id="775902371">
              <w:marLeft w:val="0"/>
              <w:marRight w:val="0"/>
              <w:marTop w:val="0"/>
              <w:marBottom w:val="0"/>
              <w:divBdr>
                <w:top w:val="none" w:sz="0" w:space="0" w:color="auto"/>
                <w:left w:val="none" w:sz="0" w:space="0" w:color="auto"/>
                <w:bottom w:val="none" w:sz="0" w:space="0" w:color="auto"/>
                <w:right w:val="none" w:sz="0" w:space="0" w:color="auto"/>
              </w:divBdr>
              <w:divsChild>
                <w:div w:id="1694920753">
                  <w:marLeft w:val="0"/>
                  <w:marRight w:val="0"/>
                  <w:marTop w:val="0"/>
                  <w:marBottom w:val="0"/>
                  <w:divBdr>
                    <w:top w:val="none" w:sz="0" w:space="0" w:color="auto"/>
                    <w:left w:val="none" w:sz="0" w:space="0" w:color="auto"/>
                    <w:bottom w:val="none" w:sz="0" w:space="0" w:color="auto"/>
                    <w:right w:val="none" w:sz="0" w:space="0" w:color="auto"/>
                  </w:divBdr>
                </w:div>
              </w:divsChild>
            </w:div>
            <w:div w:id="1075397429">
              <w:marLeft w:val="0"/>
              <w:marRight w:val="0"/>
              <w:marTop w:val="0"/>
              <w:marBottom w:val="0"/>
              <w:divBdr>
                <w:top w:val="none" w:sz="0" w:space="0" w:color="auto"/>
                <w:left w:val="none" w:sz="0" w:space="0" w:color="auto"/>
                <w:bottom w:val="none" w:sz="0" w:space="0" w:color="auto"/>
                <w:right w:val="none" w:sz="0" w:space="0" w:color="auto"/>
              </w:divBdr>
              <w:divsChild>
                <w:div w:id="3946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6417">
          <w:marLeft w:val="0"/>
          <w:marRight w:val="0"/>
          <w:marTop w:val="0"/>
          <w:marBottom w:val="0"/>
          <w:divBdr>
            <w:top w:val="none" w:sz="0" w:space="0" w:color="auto"/>
            <w:left w:val="none" w:sz="0" w:space="0" w:color="auto"/>
            <w:bottom w:val="none" w:sz="0" w:space="0" w:color="auto"/>
            <w:right w:val="none" w:sz="0" w:space="0" w:color="auto"/>
          </w:divBdr>
          <w:divsChild>
            <w:div w:id="107551202">
              <w:marLeft w:val="0"/>
              <w:marRight w:val="0"/>
              <w:marTop w:val="0"/>
              <w:marBottom w:val="0"/>
              <w:divBdr>
                <w:top w:val="none" w:sz="0" w:space="0" w:color="auto"/>
                <w:left w:val="none" w:sz="0" w:space="0" w:color="auto"/>
                <w:bottom w:val="none" w:sz="0" w:space="0" w:color="auto"/>
                <w:right w:val="none" w:sz="0" w:space="0" w:color="auto"/>
              </w:divBdr>
              <w:divsChild>
                <w:div w:id="1262374280">
                  <w:marLeft w:val="0"/>
                  <w:marRight w:val="0"/>
                  <w:marTop w:val="0"/>
                  <w:marBottom w:val="0"/>
                  <w:divBdr>
                    <w:top w:val="none" w:sz="0" w:space="0" w:color="auto"/>
                    <w:left w:val="none" w:sz="0" w:space="0" w:color="auto"/>
                    <w:bottom w:val="none" w:sz="0" w:space="0" w:color="auto"/>
                    <w:right w:val="none" w:sz="0" w:space="0" w:color="auto"/>
                  </w:divBdr>
                </w:div>
              </w:divsChild>
            </w:div>
            <w:div w:id="730814587">
              <w:marLeft w:val="0"/>
              <w:marRight w:val="0"/>
              <w:marTop w:val="0"/>
              <w:marBottom w:val="0"/>
              <w:divBdr>
                <w:top w:val="none" w:sz="0" w:space="0" w:color="auto"/>
                <w:left w:val="none" w:sz="0" w:space="0" w:color="auto"/>
                <w:bottom w:val="none" w:sz="0" w:space="0" w:color="auto"/>
                <w:right w:val="none" w:sz="0" w:space="0" w:color="auto"/>
              </w:divBdr>
              <w:divsChild>
                <w:div w:id="1894153820">
                  <w:marLeft w:val="0"/>
                  <w:marRight w:val="0"/>
                  <w:marTop w:val="0"/>
                  <w:marBottom w:val="0"/>
                  <w:divBdr>
                    <w:top w:val="none" w:sz="0" w:space="0" w:color="auto"/>
                    <w:left w:val="none" w:sz="0" w:space="0" w:color="auto"/>
                    <w:bottom w:val="none" w:sz="0" w:space="0" w:color="auto"/>
                    <w:right w:val="none" w:sz="0" w:space="0" w:color="auto"/>
                  </w:divBdr>
                </w:div>
              </w:divsChild>
            </w:div>
            <w:div w:id="382027969">
              <w:marLeft w:val="0"/>
              <w:marRight w:val="0"/>
              <w:marTop w:val="0"/>
              <w:marBottom w:val="0"/>
              <w:divBdr>
                <w:top w:val="none" w:sz="0" w:space="0" w:color="auto"/>
                <w:left w:val="none" w:sz="0" w:space="0" w:color="auto"/>
                <w:bottom w:val="none" w:sz="0" w:space="0" w:color="auto"/>
                <w:right w:val="none" w:sz="0" w:space="0" w:color="auto"/>
              </w:divBdr>
              <w:divsChild>
                <w:div w:id="257718998">
                  <w:marLeft w:val="0"/>
                  <w:marRight w:val="0"/>
                  <w:marTop w:val="0"/>
                  <w:marBottom w:val="0"/>
                  <w:divBdr>
                    <w:top w:val="none" w:sz="0" w:space="0" w:color="auto"/>
                    <w:left w:val="none" w:sz="0" w:space="0" w:color="auto"/>
                    <w:bottom w:val="none" w:sz="0" w:space="0" w:color="auto"/>
                    <w:right w:val="none" w:sz="0" w:space="0" w:color="auto"/>
                  </w:divBdr>
                </w:div>
              </w:divsChild>
            </w:div>
            <w:div w:id="404496769">
              <w:marLeft w:val="0"/>
              <w:marRight w:val="0"/>
              <w:marTop w:val="0"/>
              <w:marBottom w:val="0"/>
              <w:divBdr>
                <w:top w:val="none" w:sz="0" w:space="0" w:color="auto"/>
                <w:left w:val="none" w:sz="0" w:space="0" w:color="auto"/>
                <w:bottom w:val="none" w:sz="0" w:space="0" w:color="auto"/>
                <w:right w:val="none" w:sz="0" w:space="0" w:color="auto"/>
              </w:divBdr>
              <w:divsChild>
                <w:div w:id="909340717">
                  <w:marLeft w:val="0"/>
                  <w:marRight w:val="0"/>
                  <w:marTop w:val="0"/>
                  <w:marBottom w:val="0"/>
                  <w:divBdr>
                    <w:top w:val="none" w:sz="0" w:space="0" w:color="auto"/>
                    <w:left w:val="none" w:sz="0" w:space="0" w:color="auto"/>
                    <w:bottom w:val="none" w:sz="0" w:space="0" w:color="auto"/>
                    <w:right w:val="none" w:sz="0" w:space="0" w:color="auto"/>
                  </w:divBdr>
                </w:div>
              </w:divsChild>
            </w:div>
            <w:div w:id="1698503566">
              <w:marLeft w:val="0"/>
              <w:marRight w:val="0"/>
              <w:marTop w:val="0"/>
              <w:marBottom w:val="0"/>
              <w:divBdr>
                <w:top w:val="none" w:sz="0" w:space="0" w:color="auto"/>
                <w:left w:val="none" w:sz="0" w:space="0" w:color="auto"/>
                <w:bottom w:val="none" w:sz="0" w:space="0" w:color="auto"/>
                <w:right w:val="none" w:sz="0" w:space="0" w:color="auto"/>
              </w:divBdr>
              <w:divsChild>
                <w:div w:id="19025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278">
          <w:marLeft w:val="0"/>
          <w:marRight w:val="0"/>
          <w:marTop w:val="0"/>
          <w:marBottom w:val="0"/>
          <w:divBdr>
            <w:top w:val="none" w:sz="0" w:space="0" w:color="auto"/>
            <w:left w:val="none" w:sz="0" w:space="0" w:color="auto"/>
            <w:bottom w:val="none" w:sz="0" w:space="0" w:color="auto"/>
            <w:right w:val="none" w:sz="0" w:space="0" w:color="auto"/>
          </w:divBdr>
          <w:divsChild>
            <w:div w:id="1028410153">
              <w:marLeft w:val="0"/>
              <w:marRight w:val="0"/>
              <w:marTop w:val="0"/>
              <w:marBottom w:val="0"/>
              <w:divBdr>
                <w:top w:val="none" w:sz="0" w:space="0" w:color="auto"/>
                <w:left w:val="none" w:sz="0" w:space="0" w:color="auto"/>
                <w:bottom w:val="none" w:sz="0" w:space="0" w:color="auto"/>
                <w:right w:val="none" w:sz="0" w:space="0" w:color="auto"/>
              </w:divBdr>
              <w:divsChild>
                <w:div w:id="577205421">
                  <w:marLeft w:val="0"/>
                  <w:marRight w:val="0"/>
                  <w:marTop w:val="0"/>
                  <w:marBottom w:val="0"/>
                  <w:divBdr>
                    <w:top w:val="none" w:sz="0" w:space="0" w:color="auto"/>
                    <w:left w:val="none" w:sz="0" w:space="0" w:color="auto"/>
                    <w:bottom w:val="none" w:sz="0" w:space="0" w:color="auto"/>
                    <w:right w:val="none" w:sz="0" w:space="0" w:color="auto"/>
                  </w:divBdr>
                </w:div>
              </w:divsChild>
            </w:div>
            <w:div w:id="1654680633">
              <w:marLeft w:val="0"/>
              <w:marRight w:val="0"/>
              <w:marTop w:val="0"/>
              <w:marBottom w:val="0"/>
              <w:divBdr>
                <w:top w:val="none" w:sz="0" w:space="0" w:color="auto"/>
                <w:left w:val="none" w:sz="0" w:space="0" w:color="auto"/>
                <w:bottom w:val="none" w:sz="0" w:space="0" w:color="auto"/>
                <w:right w:val="none" w:sz="0" w:space="0" w:color="auto"/>
              </w:divBdr>
              <w:divsChild>
                <w:div w:id="180240167">
                  <w:marLeft w:val="0"/>
                  <w:marRight w:val="0"/>
                  <w:marTop w:val="0"/>
                  <w:marBottom w:val="0"/>
                  <w:divBdr>
                    <w:top w:val="none" w:sz="0" w:space="0" w:color="auto"/>
                    <w:left w:val="none" w:sz="0" w:space="0" w:color="auto"/>
                    <w:bottom w:val="none" w:sz="0" w:space="0" w:color="auto"/>
                    <w:right w:val="none" w:sz="0" w:space="0" w:color="auto"/>
                  </w:divBdr>
                </w:div>
              </w:divsChild>
            </w:div>
            <w:div w:id="1012535877">
              <w:marLeft w:val="0"/>
              <w:marRight w:val="0"/>
              <w:marTop w:val="0"/>
              <w:marBottom w:val="0"/>
              <w:divBdr>
                <w:top w:val="none" w:sz="0" w:space="0" w:color="auto"/>
                <w:left w:val="none" w:sz="0" w:space="0" w:color="auto"/>
                <w:bottom w:val="none" w:sz="0" w:space="0" w:color="auto"/>
                <w:right w:val="none" w:sz="0" w:space="0" w:color="auto"/>
              </w:divBdr>
              <w:divsChild>
                <w:div w:id="19490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0663">
          <w:marLeft w:val="0"/>
          <w:marRight w:val="0"/>
          <w:marTop w:val="0"/>
          <w:marBottom w:val="0"/>
          <w:divBdr>
            <w:top w:val="none" w:sz="0" w:space="0" w:color="auto"/>
            <w:left w:val="none" w:sz="0" w:space="0" w:color="auto"/>
            <w:bottom w:val="none" w:sz="0" w:space="0" w:color="auto"/>
            <w:right w:val="none" w:sz="0" w:space="0" w:color="auto"/>
          </w:divBdr>
          <w:divsChild>
            <w:div w:id="2133397651">
              <w:marLeft w:val="0"/>
              <w:marRight w:val="0"/>
              <w:marTop w:val="0"/>
              <w:marBottom w:val="0"/>
              <w:divBdr>
                <w:top w:val="none" w:sz="0" w:space="0" w:color="auto"/>
                <w:left w:val="none" w:sz="0" w:space="0" w:color="auto"/>
                <w:bottom w:val="none" w:sz="0" w:space="0" w:color="auto"/>
                <w:right w:val="none" w:sz="0" w:space="0" w:color="auto"/>
              </w:divBdr>
              <w:divsChild>
                <w:div w:id="13410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2638">
          <w:marLeft w:val="0"/>
          <w:marRight w:val="0"/>
          <w:marTop w:val="0"/>
          <w:marBottom w:val="0"/>
          <w:divBdr>
            <w:top w:val="none" w:sz="0" w:space="0" w:color="auto"/>
            <w:left w:val="none" w:sz="0" w:space="0" w:color="auto"/>
            <w:bottom w:val="none" w:sz="0" w:space="0" w:color="auto"/>
            <w:right w:val="none" w:sz="0" w:space="0" w:color="auto"/>
          </w:divBdr>
          <w:divsChild>
            <w:div w:id="1129739937">
              <w:marLeft w:val="0"/>
              <w:marRight w:val="0"/>
              <w:marTop w:val="0"/>
              <w:marBottom w:val="0"/>
              <w:divBdr>
                <w:top w:val="none" w:sz="0" w:space="0" w:color="auto"/>
                <w:left w:val="none" w:sz="0" w:space="0" w:color="auto"/>
                <w:bottom w:val="none" w:sz="0" w:space="0" w:color="auto"/>
                <w:right w:val="none" w:sz="0" w:space="0" w:color="auto"/>
              </w:divBdr>
              <w:divsChild>
                <w:div w:id="2653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6595">
          <w:marLeft w:val="0"/>
          <w:marRight w:val="0"/>
          <w:marTop w:val="0"/>
          <w:marBottom w:val="0"/>
          <w:divBdr>
            <w:top w:val="none" w:sz="0" w:space="0" w:color="auto"/>
            <w:left w:val="none" w:sz="0" w:space="0" w:color="auto"/>
            <w:bottom w:val="none" w:sz="0" w:space="0" w:color="auto"/>
            <w:right w:val="none" w:sz="0" w:space="0" w:color="auto"/>
          </w:divBdr>
          <w:divsChild>
            <w:div w:id="1543975094">
              <w:marLeft w:val="0"/>
              <w:marRight w:val="0"/>
              <w:marTop w:val="0"/>
              <w:marBottom w:val="0"/>
              <w:divBdr>
                <w:top w:val="none" w:sz="0" w:space="0" w:color="auto"/>
                <w:left w:val="none" w:sz="0" w:space="0" w:color="auto"/>
                <w:bottom w:val="none" w:sz="0" w:space="0" w:color="auto"/>
                <w:right w:val="none" w:sz="0" w:space="0" w:color="auto"/>
              </w:divBdr>
              <w:divsChild>
                <w:div w:id="501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1316">
          <w:marLeft w:val="0"/>
          <w:marRight w:val="0"/>
          <w:marTop w:val="0"/>
          <w:marBottom w:val="0"/>
          <w:divBdr>
            <w:top w:val="none" w:sz="0" w:space="0" w:color="auto"/>
            <w:left w:val="none" w:sz="0" w:space="0" w:color="auto"/>
            <w:bottom w:val="none" w:sz="0" w:space="0" w:color="auto"/>
            <w:right w:val="none" w:sz="0" w:space="0" w:color="auto"/>
          </w:divBdr>
          <w:divsChild>
            <w:div w:id="145361021">
              <w:marLeft w:val="0"/>
              <w:marRight w:val="0"/>
              <w:marTop w:val="0"/>
              <w:marBottom w:val="0"/>
              <w:divBdr>
                <w:top w:val="none" w:sz="0" w:space="0" w:color="auto"/>
                <w:left w:val="none" w:sz="0" w:space="0" w:color="auto"/>
                <w:bottom w:val="none" w:sz="0" w:space="0" w:color="auto"/>
                <w:right w:val="none" w:sz="0" w:space="0" w:color="auto"/>
              </w:divBdr>
              <w:divsChild>
                <w:div w:id="2616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Cooke</dc:creator>
  <cp:keywords/>
  <dc:description/>
  <cp:lastModifiedBy>Anita Hand</cp:lastModifiedBy>
  <cp:revision>2</cp:revision>
  <dcterms:created xsi:type="dcterms:W3CDTF">2021-04-17T15:47:00Z</dcterms:created>
  <dcterms:modified xsi:type="dcterms:W3CDTF">2021-04-17T15:47:00Z</dcterms:modified>
</cp:coreProperties>
</file>