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20EEC" w14:textId="0A2BD983" w:rsidR="00CB24EE" w:rsidRPr="00857631" w:rsidRDefault="00014A5B" w:rsidP="00414B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57631">
        <w:rPr>
          <w:rFonts w:cstheme="minorHAnsi"/>
          <w:b/>
          <w:bCs/>
          <w:sz w:val="24"/>
          <w:szCs w:val="24"/>
        </w:rPr>
        <w:t>FSH 2409.1</w:t>
      </w:r>
      <w:r w:rsidR="00D91DD2">
        <w:rPr>
          <w:rFonts w:cstheme="minorHAnsi"/>
          <w:b/>
          <w:bCs/>
          <w:sz w:val="24"/>
          <w:szCs w:val="24"/>
        </w:rPr>
        <w:t>9</w:t>
      </w:r>
      <w:r w:rsidRPr="00857631">
        <w:rPr>
          <w:rFonts w:cstheme="minorHAnsi"/>
          <w:b/>
          <w:bCs/>
          <w:sz w:val="24"/>
          <w:szCs w:val="24"/>
        </w:rPr>
        <w:t xml:space="preserve">, Chapter </w:t>
      </w:r>
      <w:r w:rsidR="00F2379D">
        <w:rPr>
          <w:rFonts w:cstheme="minorHAnsi"/>
          <w:b/>
          <w:bCs/>
          <w:sz w:val="24"/>
          <w:szCs w:val="24"/>
        </w:rPr>
        <w:t>10</w:t>
      </w:r>
    </w:p>
    <w:p w14:paraId="4D105888" w14:textId="5D582DF7" w:rsidR="00740703" w:rsidRDefault="00740703" w:rsidP="00F2379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10 – Definitions</w:t>
      </w:r>
    </w:p>
    <w:p w14:paraId="32ABBE85" w14:textId="72F0D1FC" w:rsidR="00740703" w:rsidRPr="00740703" w:rsidRDefault="00740703" w:rsidP="0074070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0703">
        <w:rPr>
          <w:rFonts w:cstheme="minorHAnsi"/>
          <w:sz w:val="24"/>
          <w:szCs w:val="24"/>
          <w:u w:val="single"/>
        </w:rPr>
        <w:t>Contract Termination Date</w:t>
      </w:r>
      <w:r>
        <w:rPr>
          <w:rFonts w:cstheme="minorHAnsi"/>
          <w:sz w:val="24"/>
          <w:szCs w:val="24"/>
        </w:rPr>
        <w:t>:</w:t>
      </w:r>
    </w:p>
    <w:p w14:paraId="1BB4AFB4" w14:textId="59AF1512" w:rsidR="00740703" w:rsidRPr="00740703" w:rsidRDefault="00740703" w:rsidP="00740703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Replace “This date can be adjusted” to “This date can be extended” to match language used at</w:t>
      </w:r>
      <w:r w:rsidR="002F67DA">
        <w:rPr>
          <w:rFonts w:cstheme="minorHAnsi"/>
          <w:sz w:val="24"/>
          <w:szCs w:val="24"/>
        </w:rPr>
        <w:t xml:space="preserve"> </w:t>
      </w:r>
      <w:r w:rsidR="002F67DA" w:rsidRPr="002F67DA">
        <w:rPr>
          <w:rFonts w:cstheme="minorHAnsi"/>
          <w:b/>
          <w:bCs/>
          <w:sz w:val="24"/>
          <w:szCs w:val="24"/>
        </w:rPr>
        <w:t>16.3 – Annual Review of Sale Area Improvement Plans</w:t>
      </w:r>
      <w:r w:rsidR="002F67DA">
        <w:rPr>
          <w:rFonts w:cstheme="minorHAnsi"/>
          <w:sz w:val="24"/>
          <w:szCs w:val="24"/>
        </w:rPr>
        <w:t xml:space="preserve"> #2</w:t>
      </w:r>
    </w:p>
    <w:p w14:paraId="4581A841" w14:textId="20E6B090" w:rsidR="00014A5B" w:rsidRPr="00857631" w:rsidRDefault="00D91DD2" w:rsidP="00F2379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13</w:t>
      </w:r>
      <w:r w:rsidR="00014A5B" w:rsidRPr="0085763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–</w:t>
      </w:r>
      <w:r w:rsidR="00014A5B" w:rsidRPr="0085763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Appropriate Use of CWKV Funds</w:t>
      </w:r>
    </w:p>
    <w:p w14:paraId="27AA0CF2" w14:textId="77777777" w:rsidR="00D91DD2" w:rsidRPr="00D91DD2" w:rsidRDefault="00D91DD2" w:rsidP="00414BA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91DD2">
        <w:rPr>
          <w:rFonts w:cstheme="minorHAnsi"/>
          <w:sz w:val="24"/>
          <w:szCs w:val="24"/>
        </w:rPr>
        <w:t xml:space="preserve">Considerations before performing activity with CWKV funds #5.  </w:t>
      </w:r>
    </w:p>
    <w:p w14:paraId="4AE16301" w14:textId="1985FC80" w:rsidR="00D91DD2" w:rsidRPr="00D91DD2" w:rsidRDefault="00D91DD2" w:rsidP="00D91DD2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91DD2">
        <w:rPr>
          <w:rFonts w:cstheme="minorHAnsi"/>
          <w:sz w:val="24"/>
          <w:szCs w:val="24"/>
        </w:rPr>
        <w:t xml:space="preserve">Replace </w:t>
      </w:r>
      <w:r w:rsidR="00D7181F">
        <w:rPr>
          <w:rFonts w:cstheme="minorHAnsi"/>
          <w:sz w:val="24"/>
          <w:szCs w:val="24"/>
        </w:rPr>
        <w:t>“</w:t>
      </w:r>
      <w:r w:rsidRPr="00D91DD2">
        <w:rPr>
          <w:rFonts w:cstheme="minorHAnsi"/>
          <w:sz w:val="24"/>
          <w:szCs w:val="24"/>
        </w:rPr>
        <w:t>the subdivision surrounding the CWKV activity must be officially closed” with “the subdivision</w:t>
      </w:r>
      <w:r>
        <w:rPr>
          <w:rFonts w:cstheme="minorHAnsi"/>
          <w:sz w:val="24"/>
          <w:szCs w:val="24"/>
        </w:rPr>
        <w:t xml:space="preserve"> </w:t>
      </w:r>
      <w:r w:rsidRPr="00D91DD2">
        <w:rPr>
          <w:rFonts w:cstheme="minorHAnsi"/>
          <w:sz w:val="24"/>
          <w:szCs w:val="24"/>
        </w:rPr>
        <w:t xml:space="preserve">or Payment Unit surrounding the CWKV activity must be </w:t>
      </w:r>
      <w:r>
        <w:rPr>
          <w:rFonts w:cstheme="minorHAnsi"/>
          <w:sz w:val="24"/>
          <w:szCs w:val="24"/>
        </w:rPr>
        <w:t>contractually eliminated</w:t>
      </w:r>
      <w:r w:rsidRPr="00D91DD2">
        <w:rPr>
          <w:rFonts w:cstheme="minorHAnsi"/>
          <w:sz w:val="24"/>
          <w:szCs w:val="24"/>
        </w:rPr>
        <w:t xml:space="preserve"> from the Sale Area.”    </w:t>
      </w:r>
    </w:p>
    <w:p w14:paraId="0303BF6E" w14:textId="77777777" w:rsidR="00F2379D" w:rsidRDefault="00F2379D" w:rsidP="003D3B5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1C78B25" w14:textId="372E3714" w:rsidR="00F2379D" w:rsidRDefault="00F2379D" w:rsidP="003D3B5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FSH 2409.19, Chapter </w:t>
      </w:r>
      <w:r w:rsidR="003D3B53">
        <w:rPr>
          <w:rFonts w:cstheme="minorHAnsi"/>
          <w:b/>
          <w:bCs/>
          <w:sz w:val="24"/>
          <w:szCs w:val="24"/>
        </w:rPr>
        <w:t xml:space="preserve">20 </w:t>
      </w:r>
    </w:p>
    <w:p w14:paraId="6B962F27" w14:textId="64522556" w:rsidR="00D91DD2" w:rsidRPr="00F2379D" w:rsidRDefault="003D3B53" w:rsidP="00F2379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2379D">
        <w:rPr>
          <w:rFonts w:cstheme="minorHAnsi"/>
          <w:b/>
          <w:bCs/>
          <w:sz w:val="24"/>
          <w:szCs w:val="24"/>
        </w:rPr>
        <w:t>Diges</w:t>
      </w:r>
      <w:r w:rsidR="00F2379D" w:rsidRPr="00F2379D">
        <w:rPr>
          <w:rFonts w:cstheme="minorHAnsi"/>
          <w:b/>
          <w:bCs/>
          <w:sz w:val="24"/>
          <w:szCs w:val="24"/>
        </w:rPr>
        <w:t>t</w:t>
      </w:r>
    </w:p>
    <w:p w14:paraId="09F8B533" w14:textId="552116F0" w:rsidR="003D3B53" w:rsidRPr="00F2379D" w:rsidRDefault="00F2379D" w:rsidP="00F2379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F2379D">
        <w:rPr>
          <w:rFonts w:cstheme="minorHAnsi"/>
          <w:sz w:val="24"/>
          <w:szCs w:val="24"/>
          <w:u w:val="single"/>
        </w:rPr>
        <w:t>63.18</w:t>
      </w:r>
      <w:r w:rsidRPr="00F2379D">
        <w:rPr>
          <w:rFonts w:cstheme="minorHAnsi"/>
          <w:sz w:val="24"/>
          <w:szCs w:val="24"/>
        </w:rPr>
        <w:t xml:space="preserve">: </w:t>
      </w:r>
      <w:r w:rsidR="003D3B53" w:rsidRPr="00F2379D">
        <w:rPr>
          <w:rFonts w:cstheme="minorHAnsi"/>
          <w:sz w:val="24"/>
          <w:szCs w:val="24"/>
        </w:rPr>
        <w:t>Replace “bidder” with “offeror”</w:t>
      </w:r>
    </w:p>
    <w:p w14:paraId="641B1838" w14:textId="64F6AD30" w:rsidR="00F2379D" w:rsidRDefault="00F2379D" w:rsidP="00F2379D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65F0997" w14:textId="081C7365" w:rsidR="00F2379D" w:rsidRDefault="00F2379D" w:rsidP="00F2379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FSH 2409.19, Chapter </w:t>
      </w:r>
      <w:r w:rsidRPr="00F2379D">
        <w:rPr>
          <w:rFonts w:cstheme="minorHAnsi"/>
          <w:b/>
          <w:bCs/>
          <w:sz w:val="24"/>
          <w:szCs w:val="24"/>
        </w:rPr>
        <w:t>60</w:t>
      </w:r>
    </w:p>
    <w:p w14:paraId="12F2E6A1" w14:textId="0E38AC5C" w:rsidR="005848B0" w:rsidRDefault="005848B0" w:rsidP="00F2379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60.41c – Washington Office, Chief Financial Officer, 64.3 Contract Agreement and Administration Teams</w:t>
      </w:r>
    </w:p>
    <w:p w14:paraId="0560EC03" w14:textId="7D31E013" w:rsidR="005848B0" w:rsidRPr="005848B0" w:rsidRDefault="005848B0" w:rsidP="005848B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 “Forest Products” in front of “Resource Specialists”</w:t>
      </w:r>
    </w:p>
    <w:p w14:paraId="4683942D" w14:textId="5D54A2B5" w:rsidR="00F2379D" w:rsidRDefault="00F2379D" w:rsidP="00F2379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60.5- Definitions</w:t>
      </w:r>
    </w:p>
    <w:p w14:paraId="26CEEC84" w14:textId="2273A989" w:rsidR="00F2379D" w:rsidRPr="00F2379D" w:rsidRDefault="00F2379D" w:rsidP="00F2379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F2379D">
        <w:rPr>
          <w:rFonts w:cstheme="minorHAnsi"/>
          <w:sz w:val="24"/>
          <w:szCs w:val="24"/>
          <w:u w:val="single"/>
        </w:rPr>
        <w:t>Offeror</w:t>
      </w:r>
      <w:r>
        <w:rPr>
          <w:rFonts w:cstheme="minorHAnsi"/>
          <w:sz w:val="24"/>
          <w:szCs w:val="24"/>
        </w:rPr>
        <w:t>: Add “timber” after “integrated resource”</w:t>
      </w:r>
    </w:p>
    <w:p w14:paraId="4366B578" w14:textId="210061EA" w:rsidR="004F4CE4" w:rsidRPr="004F4CE4" w:rsidRDefault="004F4CE4" w:rsidP="004F4CE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62 – Exhibit 01 </w:t>
      </w:r>
      <w:r>
        <w:rPr>
          <w:rFonts w:cstheme="minorHAnsi"/>
          <w:sz w:val="24"/>
          <w:szCs w:val="24"/>
        </w:rPr>
        <w:t xml:space="preserve">(IRTC/Fund Service Work with Retained Receipts) and </w:t>
      </w:r>
      <w:r w:rsidR="006909D5" w:rsidRPr="006909D5">
        <w:rPr>
          <w:rFonts w:cstheme="minorHAnsi"/>
          <w:b/>
          <w:bCs/>
          <w:sz w:val="24"/>
          <w:szCs w:val="24"/>
        </w:rPr>
        <w:t>62.8 – Engineering Packages</w:t>
      </w:r>
      <w:r w:rsidR="006909D5">
        <w:rPr>
          <w:rFonts w:cstheme="minorHAnsi"/>
          <w:sz w:val="24"/>
          <w:szCs w:val="24"/>
        </w:rPr>
        <w:t xml:space="preserve"> #5</w:t>
      </w:r>
    </w:p>
    <w:p w14:paraId="25F6AB62" w14:textId="6421D2F0" w:rsidR="006F4C84" w:rsidRPr="00100228" w:rsidRDefault="006909D5" w:rsidP="006F4C8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100228">
        <w:rPr>
          <w:rFonts w:cstheme="minorHAnsi"/>
          <w:sz w:val="24"/>
          <w:szCs w:val="24"/>
        </w:rPr>
        <w:t>If retained receipts can be used to construct a specified road to a higher standard on an IRTC, why is thi</w:t>
      </w:r>
      <w:r w:rsidR="00C8385D" w:rsidRPr="00100228">
        <w:rPr>
          <w:rFonts w:cstheme="minorHAnsi"/>
          <w:sz w:val="24"/>
          <w:szCs w:val="24"/>
        </w:rPr>
        <w:t xml:space="preserve">s not </w:t>
      </w:r>
      <w:r w:rsidR="00BF2DC8">
        <w:rPr>
          <w:rFonts w:cstheme="minorHAnsi"/>
          <w:sz w:val="24"/>
          <w:szCs w:val="24"/>
        </w:rPr>
        <w:t>an option f</w:t>
      </w:r>
      <w:r w:rsidR="00C8385D" w:rsidRPr="00100228">
        <w:rPr>
          <w:rFonts w:cstheme="minorHAnsi"/>
          <w:sz w:val="24"/>
          <w:szCs w:val="24"/>
        </w:rPr>
        <w:t>o</w:t>
      </w:r>
      <w:r w:rsidR="00BF2DC8">
        <w:rPr>
          <w:rFonts w:cstheme="minorHAnsi"/>
          <w:sz w:val="24"/>
          <w:szCs w:val="24"/>
        </w:rPr>
        <w:t>r</w:t>
      </w:r>
      <w:r w:rsidRPr="00100228">
        <w:rPr>
          <w:rFonts w:cstheme="minorHAnsi"/>
          <w:sz w:val="24"/>
          <w:szCs w:val="24"/>
        </w:rPr>
        <w:t xml:space="preserve"> other situations that may occur on an IRTC after contract award</w:t>
      </w:r>
      <w:r w:rsidR="00C8385D" w:rsidRPr="00100228">
        <w:rPr>
          <w:rFonts w:cstheme="minorHAnsi"/>
          <w:sz w:val="24"/>
          <w:szCs w:val="24"/>
        </w:rPr>
        <w:t xml:space="preserve"> to accomplish one of the seven land management objectives of stewardship</w:t>
      </w:r>
      <w:r w:rsidRPr="00100228">
        <w:rPr>
          <w:rFonts w:cstheme="minorHAnsi"/>
          <w:sz w:val="24"/>
          <w:szCs w:val="24"/>
        </w:rPr>
        <w:t>?</w:t>
      </w:r>
    </w:p>
    <w:p w14:paraId="0E551F54" w14:textId="2CBB9266" w:rsidR="00C8385D" w:rsidRDefault="00C8385D" w:rsidP="00C8385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8385D">
        <w:rPr>
          <w:rFonts w:cstheme="minorHAnsi"/>
          <w:b/>
          <w:bCs/>
          <w:sz w:val="24"/>
          <w:szCs w:val="24"/>
        </w:rPr>
        <w:t>64.2 – Contracting Officers for Stewardship Contracting Projects</w:t>
      </w:r>
    </w:p>
    <w:p w14:paraId="32EC1943" w14:textId="1ABB8971" w:rsidR="00C8385D" w:rsidRDefault="001C506B" w:rsidP="00C8385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Stewardship Agreement with Project Removal:  </w:t>
      </w:r>
      <w:r w:rsidR="005950CC">
        <w:rPr>
          <w:rFonts w:cstheme="minorHAnsi"/>
          <w:sz w:val="24"/>
          <w:szCs w:val="24"/>
        </w:rPr>
        <w:t>Replace “Timber” with “Procurement” per FSM 2404.26.</w:t>
      </w:r>
    </w:p>
    <w:p w14:paraId="279463EF" w14:textId="4F969D97" w:rsidR="005950CC" w:rsidRPr="005950CC" w:rsidRDefault="005950CC" w:rsidP="005950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50CC">
        <w:rPr>
          <w:rFonts w:cstheme="minorHAnsi"/>
          <w:b/>
          <w:bCs/>
          <w:sz w:val="24"/>
          <w:szCs w:val="24"/>
        </w:rPr>
        <w:t>64.3 – Contract and Agreement Administration Teams</w:t>
      </w:r>
    </w:p>
    <w:p w14:paraId="62F2DC58" w14:textId="149EB185" w:rsidR="005950CC" w:rsidRDefault="005950CC" w:rsidP="005950C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Stewardship Agreements (including forest product removal): Replace a. through f. with a. through g. under 1. Integrated Resource Service Contract.</w:t>
      </w:r>
    </w:p>
    <w:p w14:paraId="270D02CD" w14:textId="74D17502" w:rsidR="00140B6A" w:rsidRDefault="00140B6A" w:rsidP="00140B6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40B6A">
        <w:rPr>
          <w:rFonts w:cstheme="minorHAnsi"/>
          <w:b/>
          <w:bCs/>
          <w:sz w:val="24"/>
          <w:szCs w:val="24"/>
        </w:rPr>
        <w:t>65 – Funding for Stewardship Contracts and Agreements</w:t>
      </w:r>
    </w:p>
    <w:p w14:paraId="12C32B89" w14:textId="77777777" w:rsidR="00100228" w:rsidRDefault="00140B6A" w:rsidP="00140B6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Pr="00140B6A">
        <w:rPr>
          <w:rFonts w:cstheme="minorHAnsi"/>
          <w:sz w:val="24"/>
          <w:szCs w:val="24"/>
        </w:rPr>
        <w:t>Forest Service policy prohibits adding funds to an IRTC except for improving haul roads to a higher standard than needed for timber removal, or as specifically provided under the contract (sec. 60.3). Exceptions to this policy must be approved by the Regional Forester.</w:t>
      </w:r>
      <w:r>
        <w:rPr>
          <w:rFonts w:cstheme="minorHAnsi"/>
          <w:sz w:val="24"/>
          <w:szCs w:val="24"/>
        </w:rPr>
        <w:t xml:space="preserve">”  </w:t>
      </w:r>
    </w:p>
    <w:p w14:paraId="2282C2EB" w14:textId="4A812668" w:rsidR="00140B6A" w:rsidRPr="00BF2DC8" w:rsidRDefault="00140B6A" w:rsidP="00100228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Suggested exception: prior to contract termination if the timber value is no </w:t>
      </w:r>
      <w:r w:rsidRPr="00BF2DC8">
        <w:rPr>
          <w:rFonts w:cstheme="minorHAnsi"/>
          <w:sz w:val="24"/>
          <w:szCs w:val="24"/>
        </w:rPr>
        <w:t xml:space="preserve">longer sufficient to offset </w:t>
      </w:r>
      <w:r w:rsidR="00A257C5" w:rsidRPr="00BF2DC8">
        <w:rPr>
          <w:rFonts w:cstheme="minorHAnsi"/>
          <w:sz w:val="24"/>
          <w:szCs w:val="24"/>
        </w:rPr>
        <w:t xml:space="preserve">the </w:t>
      </w:r>
      <w:r w:rsidRPr="00BF2DC8">
        <w:rPr>
          <w:rFonts w:cstheme="minorHAnsi"/>
          <w:sz w:val="24"/>
          <w:szCs w:val="24"/>
        </w:rPr>
        <w:t>value of mandatory stewardship work.</w:t>
      </w:r>
    </w:p>
    <w:p w14:paraId="473C8F88" w14:textId="480728FD" w:rsidR="00E554C7" w:rsidRPr="00BF2DC8" w:rsidRDefault="00100228" w:rsidP="004222EC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BF2DC8">
        <w:rPr>
          <w:rFonts w:cstheme="minorHAnsi"/>
          <w:sz w:val="24"/>
          <w:szCs w:val="24"/>
        </w:rPr>
        <w:t>Would the amount of funds added to an IRTC for higher standards roads have the same limitation</w:t>
      </w:r>
      <w:r w:rsidR="00BF2DC8">
        <w:rPr>
          <w:rFonts w:cstheme="minorHAnsi"/>
          <w:sz w:val="24"/>
          <w:szCs w:val="24"/>
        </w:rPr>
        <w:t>s</w:t>
      </w:r>
      <w:r w:rsidRPr="00BF2DC8">
        <w:rPr>
          <w:rFonts w:cstheme="minorHAnsi"/>
          <w:sz w:val="24"/>
          <w:szCs w:val="24"/>
        </w:rPr>
        <w:t xml:space="preserve"> </w:t>
      </w:r>
      <w:r w:rsidR="00BF2DC8">
        <w:rPr>
          <w:rFonts w:cstheme="minorHAnsi"/>
          <w:sz w:val="24"/>
          <w:szCs w:val="24"/>
        </w:rPr>
        <w:t>when</w:t>
      </w:r>
      <w:r w:rsidRPr="00BF2DC8">
        <w:rPr>
          <w:rFonts w:cstheme="minorHAnsi"/>
          <w:sz w:val="24"/>
          <w:szCs w:val="24"/>
        </w:rPr>
        <w:t xml:space="preserve"> </w:t>
      </w:r>
      <w:r w:rsidR="00BF2DC8">
        <w:rPr>
          <w:rFonts w:cstheme="minorHAnsi"/>
          <w:sz w:val="24"/>
          <w:szCs w:val="24"/>
        </w:rPr>
        <w:t xml:space="preserve">adding funds to </w:t>
      </w:r>
      <w:r w:rsidRPr="00BF2DC8">
        <w:rPr>
          <w:rFonts w:cstheme="minorHAnsi"/>
          <w:sz w:val="24"/>
          <w:szCs w:val="24"/>
        </w:rPr>
        <w:t>timber sale contracts?</w:t>
      </w:r>
    </w:p>
    <w:p w14:paraId="02099BE5" w14:textId="77777777" w:rsidR="00100228" w:rsidRPr="00100228" w:rsidRDefault="00100228" w:rsidP="00100228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  <w:highlight w:val="yellow"/>
        </w:rPr>
      </w:pPr>
    </w:p>
    <w:p w14:paraId="4280B10F" w14:textId="503CCACA" w:rsidR="004222EC" w:rsidRDefault="000A0B7A" w:rsidP="004222E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A0B7A">
        <w:rPr>
          <w:rFonts w:cstheme="minorHAnsi"/>
          <w:b/>
          <w:bCs/>
          <w:sz w:val="24"/>
          <w:szCs w:val="24"/>
        </w:rPr>
        <w:lastRenderedPageBreak/>
        <w:t>FSH 2409. 19, Chapter 80</w:t>
      </w:r>
    </w:p>
    <w:p w14:paraId="38C0260C" w14:textId="3BFDE874" w:rsidR="000A0B7A" w:rsidRPr="008F169D" w:rsidRDefault="000A0B7A" w:rsidP="004222E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169D">
        <w:rPr>
          <w:rFonts w:cstheme="minorHAnsi"/>
          <w:b/>
          <w:bCs/>
          <w:sz w:val="24"/>
          <w:szCs w:val="24"/>
        </w:rPr>
        <w:t>82.</w:t>
      </w:r>
      <w:r w:rsidR="00CF5A93" w:rsidRPr="008F169D">
        <w:rPr>
          <w:rFonts w:cstheme="minorHAnsi"/>
          <w:b/>
          <w:bCs/>
          <w:sz w:val="24"/>
          <w:szCs w:val="24"/>
        </w:rPr>
        <w:t>2</w:t>
      </w:r>
      <w:r w:rsidRPr="008F169D">
        <w:rPr>
          <w:rFonts w:cstheme="minorHAnsi"/>
          <w:b/>
          <w:bCs/>
          <w:sz w:val="24"/>
          <w:szCs w:val="24"/>
        </w:rPr>
        <w:t xml:space="preserve"> – </w:t>
      </w:r>
      <w:r w:rsidR="00CF5A93" w:rsidRPr="008F169D">
        <w:rPr>
          <w:rFonts w:cstheme="minorHAnsi"/>
          <w:b/>
          <w:bCs/>
          <w:sz w:val="24"/>
          <w:szCs w:val="24"/>
        </w:rPr>
        <w:t>Requirements of State Instrument for Sale of Timber</w:t>
      </w:r>
    </w:p>
    <w:p w14:paraId="16CB8F26" w14:textId="6BE3CB3F" w:rsidR="00384F91" w:rsidRPr="008F169D" w:rsidRDefault="00384F91" w:rsidP="008F169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8F169D">
        <w:rPr>
          <w:rFonts w:cstheme="minorHAnsi"/>
          <w:sz w:val="24"/>
          <w:szCs w:val="24"/>
        </w:rPr>
        <w:t>Why limit this to State, wouldn’t these requirements be valid for all Cooperators for Sale of FS Timber?</w:t>
      </w:r>
      <w:r w:rsidR="008F169D">
        <w:rPr>
          <w:rFonts w:cstheme="minorHAnsi"/>
          <w:sz w:val="24"/>
          <w:szCs w:val="24"/>
        </w:rPr>
        <w:t xml:space="preserve"> Replace “State” with “Cooperator” in this entire section.</w:t>
      </w:r>
      <w:r w:rsidR="00E03434">
        <w:rPr>
          <w:rFonts w:cstheme="minorHAnsi"/>
          <w:sz w:val="24"/>
          <w:szCs w:val="24"/>
        </w:rPr>
        <w:t xml:space="preserve">  Also, couldn’t “State” be replaced with “Cooperator” everywhere in this chapter other than the portions about retaining revenue?</w:t>
      </w:r>
      <w:r w:rsidRPr="008F169D">
        <w:rPr>
          <w:rFonts w:cstheme="minorHAnsi"/>
          <w:sz w:val="24"/>
          <w:szCs w:val="24"/>
        </w:rPr>
        <w:t xml:space="preserve">  </w:t>
      </w:r>
    </w:p>
    <w:p w14:paraId="191226F4" w14:textId="5EEDA603" w:rsidR="000A0B7A" w:rsidRPr="00CF5A93" w:rsidRDefault="00CF5A93" w:rsidP="000A0B7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Clarify relevance or delete “Reference the FS-2400-4 contract conditions for draft language when needed.”  Appendix E is based on the FS-2400-6/6T contract, so </w:t>
      </w:r>
      <w:r w:rsidR="00BF2DC8">
        <w:rPr>
          <w:rFonts w:cstheme="minorHAnsi"/>
          <w:sz w:val="24"/>
          <w:szCs w:val="24"/>
        </w:rPr>
        <w:t>isn’t</w:t>
      </w:r>
      <w:r>
        <w:rPr>
          <w:rFonts w:cstheme="minorHAnsi"/>
          <w:sz w:val="24"/>
          <w:szCs w:val="24"/>
        </w:rPr>
        <w:t xml:space="preserve"> that be the source of draft language?</w:t>
      </w:r>
    </w:p>
    <w:p w14:paraId="37844EDC" w14:textId="5CFABE30" w:rsidR="00CF5A93" w:rsidRDefault="00CF5A93" w:rsidP="00CF5A9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82.27 – Debarment and Suspension</w:t>
      </w:r>
    </w:p>
    <w:p w14:paraId="1A5F2882" w14:textId="7A3C1714" w:rsidR="00CF5A93" w:rsidRDefault="00CF5A93" w:rsidP="00CF5A9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Replace “The State shall inform the Forest Service if they” with “The State shall inform the Forest Service if the Contractor or Subcontractors.”</w:t>
      </w:r>
    </w:p>
    <w:p w14:paraId="6E4E4FFA" w14:textId="17789448" w:rsidR="008F0B7D" w:rsidRDefault="008F0B7D" w:rsidP="008F0B7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E1ADF">
        <w:rPr>
          <w:rFonts w:cstheme="minorHAnsi"/>
          <w:b/>
          <w:bCs/>
          <w:sz w:val="24"/>
          <w:szCs w:val="24"/>
        </w:rPr>
        <w:t>84.2 – Law Enforcement</w:t>
      </w:r>
    </w:p>
    <w:p w14:paraId="07DD3C64" w14:textId="73111AEF" w:rsidR="00DE1ADF" w:rsidRDefault="00DE1ADF" w:rsidP="00DE1AD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 “Forest Service shall be notified when undesignated timber is cut and reserves the right to conduct an investigation</w:t>
      </w:r>
      <w:r w:rsidR="00A15720">
        <w:rPr>
          <w:rFonts w:cstheme="minorHAnsi"/>
          <w:sz w:val="24"/>
          <w:szCs w:val="24"/>
        </w:rPr>
        <w:t xml:space="preserve"> to determine if undesignated timber was negligently or willfully cut</w:t>
      </w:r>
      <w:r>
        <w:rPr>
          <w:rFonts w:cstheme="minorHAnsi"/>
          <w:sz w:val="24"/>
          <w:szCs w:val="24"/>
        </w:rPr>
        <w:t>.”</w:t>
      </w:r>
    </w:p>
    <w:p w14:paraId="72432D5F" w14:textId="03356E42" w:rsidR="001900C0" w:rsidRDefault="001900C0" w:rsidP="001900C0">
      <w:pPr>
        <w:spacing w:after="0" w:line="240" w:lineRule="auto"/>
        <w:rPr>
          <w:rFonts w:cstheme="minorHAnsi"/>
          <w:sz w:val="24"/>
          <w:szCs w:val="24"/>
        </w:rPr>
      </w:pPr>
    </w:p>
    <w:p w14:paraId="33D379E6" w14:textId="79372E7C" w:rsidR="001900C0" w:rsidRDefault="001900C0" w:rsidP="001900C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900C0">
        <w:rPr>
          <w:rFonts w:cstheme="minorHAnsi"/>
          <w:b/>
          <w:bCs/>
          <w:sz w:val="24"/>
          <w:szCs w:val="24"/>
        </w:rPr>
        <w:t>FSM 2420 – TIMBER APPRAISAL</w:t>
      </w:r>
    </w:p>
    <w:p w14:paraId="54FF4E78" w14:textId="671B81D4" w:rsidR="001900C0" w:rsidRDefault="001900C0" w:rsidP="001900C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2423 – RATE DETERMINATIONS</w:t>
      </w:r>
    </w:p>
    <w:p w14:paraId="25507FC1" w14:textId="6481A6AC" w:rsidR="001900C0" w:rsidRPr="001900C0" w:rsidRDefault="001900C0" w:rsidP="001900C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Add Emergency Rate Redeterminations</w:t>
      </w:r>
    </w:p>
    <w:p w14:paraId="5CE3F3DE" w14:textId="30567B1D" w:rsidR="001900C0" w:rsidRPr="001900C0" w:rsidRDefault="001900C0" w:rsidP="001900C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Delete #6 </w:t>
      </w:r>
      <w:r w:rsidRPr="000D1F93">
        <w:rPr>
          <w:rFonts w:cstheme="minorHAnsi"/>
          <w:sz w:val="24"/>
          <w:szCs w:val="24"/>
          <w:u w:val="single"/>
        </w:rPr>
        <w:t>Damage appraisals</w:t>
      </w:r>
      <w:r w:rsidR="00BF2DC8">
        <w:rPr>
          <w:rFonts w:cstheme="minorHAnsi"/>
          <w:sz w:val="24"/>
          <w:szCs w:val="24"/>
        </w:rPr>
        <w:t>, as they</w:t>
      </w:r>
      <w:r w:rsidR="000D1F93">
        <w:rPr>
          <w:rFonts w:cstheme="minorHAnsi"/>
          <w:sz w:val="24"/>
          <w:szCs w:val="24"/>
        </w:rPr>
        <w:t xml:space="preserve"> are not rate redeterminations</w:t>
      </w:r>
      <w:r w:rsidR="00BF2DC8">
        <w:rPr>
          <w:rFonts w:cstheme="minorHAnsi"/>
          <w:sz w:val="24"/>
          <w:szCs w:val="24"/>
        </w:rPr>
        <w:t>.</w:t>
      </w:r>
    </w:p>
    <w:p w14:paraId="11AAB552" w14:textId="77777777" w:rsidR="00CF5A93" w:rsidRPr="00CF5A93" w:rsidRDefault="00CF5A93" w:rsidP="00CF5A9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A16A77" w14:textId="77777777" w:rsidR="00A257C5" w:rsidRPr="00A257C5" w:rsidRDefault="00A257C5" w:rsidP="00A257C5">
      <w:pPr>
        <w:spacing w:after="0" w:line="240" w:lineRule="auto"/>
        <w:rPr>
          <w:rFonts w:cstheme="minorHAnsi"/>
          <w:sz w:val="24"/>
          <w:szCs w:val="24"/>
        </w:rPr>
      </w:pPr>
    </w:p>
    <w:p w14:paraId="23DE977C" w14:textId="77777777" w:rsidR="00BD05A6" w:rsidRPr="00BD05A6" w:rsidRDefault="00BD05A6" w:rsidP="00BD05A6">
      <w:pPr>
        <w:spacing w:after="0" w:line="240" w:lineRule="auto"/>
        <w:rPr>
          <w:rFonts w:cstheme="minorHAnsi"/>
          <w:sz w:val="24"/>
          <w:szCs w:val="24"/>
        </w:rPr>
      </w:pPr>
    </w:p>
    <w:p w14:paraId="608E242F" w14:textId="77777777" w:rsidR="004F4CE4" w:rsidRPr="004F4CE4" w:rsidRDefault="004F4CE4" w:rsidP="004F4CE4">
      <w:pPr>
        <w:spacing w:after="0" w:line="240" w:lineRule="auto"/>
        <w:rPr>
          <w:rFonts w:cstheme="minorHAnsi"/>
          <w:sz w:val="24"/>
          <w:szCs w:val="24"/>
        </w:rPr>
      </w:pPr>
    </w:p>
    <w:p w14:paraId="60288C3C" w14:textId="7F62F0FC" w:rsidR="005950CC" w:rsidRPr="005950CC" w:rsidRDefault="005950CC" w:rsidP="005950C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sectPr w:rsidR="005950CC" w:rsidRPr="005950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F240D" w14:textId="77777777" w:rsidR="006E1B60" w:rsidRDefault="006E1B60" w:rsidP="00B266F1">
      <w:pPr>
        <w:spacing w:after="0" w:line="240" w:lineRule="auto"/>
      </w:pPr>
      <w:r>
        <w:separator/>
      </w:r>
    </w:p>
  </w:endnote>
  <w:endnote w:type="continuationSeparator" w:id="0">
    <w:p w14:paraId="30119013" w14:textId="77777777" w:rsidR="006E1B60" w:rsidRDefault="006E1B60" w:rsidP="00B2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75494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0E37C9" w14:textId="502FE727" w:rsidR="00B266F1" w:rsidRDefault="00B266F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7E919D" w14:textId="77777777" w:rsidR="00B266F1" w:rsidRDefault="00B26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881B1" w14:textId="77777777" w:rsidR="006E1B60" w:rsidRDefault="006E1B60" w:rsidP="00B266F1">
      <w:pPr>
        <w:spacing w:after="0" w:line="240" w:lineRule="auto"/>
      </w:pPr>
      <w:r>
        <w:separator/>
      </w:r>
    </w:p>
  </w:footnote>
  <w:footnote w:type="continuationSeparator" w:id="0">
    <w:p w14:paraId="1F427CD6" w14:textId="77777777" w:rsidR="006E1B60" w:rsidRDefault="006E1B60" w:rsidP="00B26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93D55"/>
    <w:multiLevelType w:val="hybridMultilevel"/>
    <w:tmpl w:val="3304A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1440"/>
    <w:multiLevelType w:val="multilevel"/>
    <w:tmpl w:val="35C63B96"/>
    <w:lvl w:ilvl="0">
      <w:start w:val="2468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FF4772"/>
    <w:multiLevelType w:val="hybridMultilevel"/>
    <w:tmpl w:val="6A026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356"/>
    <w:multiLevelType w:val="hybridMultilevel"/>
    <w:tmpl w:val="627E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E193F"/>
    <w:multiLevelType w:val="multilevel"/>
    <w:tmpl w:val="6A0E1E3C"/>
    <w:lvl w:ilvl="0">
      <w:start w:val="6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D9461BF"/>
    <w:multiLevelType w:val="hybridMultilevel"/>
    <w:tmpl w:val="0396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32885"/>
    <w:multiLevelType w:val="hybridMultilevel"/>
    <w:tmpl w:val="58AE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3C65"/>
    <w:multiLevelType w:val="hybridMultilevel"/>
    <w:tmpl w:val="00BC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0648D"/>
    <w:multiLevelType w:val="hybridMultilevel"/>
    <w:tmpl w:val="D71607D4"/>
    <w:lvl w:ilvl="0" w:tplc="8FEE0E7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53"/>
    <w:rsid w:val="00014A5B"/>
    <w:rsid w:val="0004736B"/>
    <w:rsid w:val="00094CBB"/>
    <w:rsid w:val="000A0B7A"/>
    <w:rsid w:val="000D1F93"/>
    <w:rsid w:val="00100228"/>
    <w:rsid w:val="00133B6D"/>
    <w:rsid w:val="00140B6A"/>
    <w:rsid w:val="001900C0"/>
    <w:rsid w:val="0019075A"/>
    <w:rsid w:val="001C506B"/>
    <w:rsid w:val="002B261F"/>
    <w:rsid w:val="002F3924"/>
    <w:rsid w:val="002F67DA"/>
    <w:rsid w:val="00350267"/>
    <w:rsid w:val="00383AA4"/>
    <w:rsid w:val="00384F91"/>
    <w:rsid w:val="003D3B53"/>
    <w:rsid w:val="0040785B"/>
    <w:rsid w:val="00412D71"/>
    <w:rsid w:val="00414BAC"/>
    <w:rsid w:val="004222EC"/>
    <w:rsid w:val="0047260D"/>
    <w:rsid w:val="004A1AAA"/>
    <w:rsid w:val="004A2BBB"/>
    <w:rsid w:val="004A5350"/>
    <w:rsid w:val="004B6C89"/>
    <w:rsid w:val="004D2D0E"/>
    <w:rsid w:val="004E0E29"/>
    <w:rsid w:val="004F4CE4"/>
    <w:rsid w:val="00523D53"/>
    <w:rsid w:val="0055759D"/>
    <w:rsid w:val="005848B0"/>
    <w:rsid w:val="005950CC"/>
    <w:rsid w:val="005A0C2E"/>
    <w:rsid w:val="00607354"/>
    <w:rsid w:val="00652609"/>
    <w:rsid w:val="00687D38"/>
    <w:rsid w:val="006909D5"/>
    <w:rsid w:val="006958E9"/>
    <w:rsid w:val="006E1B60"/>
    <w:rsid w:val="006F4C84"/>
    <w:rsid w:val="00740703"/>
    <w:rsid w:val="0075755D"/>
    <w:rsid w:val="007B0C0F"/>
    <w:rsid w:val="007E0467"/>
    <w:rsid w:val="00857631"/>
    <w:rsid w:val="00872AE8"/>
    <w:rsid w:val="008F0B7D"/>
    <w:rsid w:val="008F169D"/>
    <w:rsid w:val="00904AAC"/>
    <w:rsid w:val="00916841"/>
    <w:rsid w:val="00926729"/>
    <w:rsid w:val="00935A6D"/>
    <w:rsid w:val="00963041"/>
    <w:rsid w:val="00A04148"/>
    <w:rsid w:val="00A15720"/>
    <w:rsid w:val="00A257C5"/>
    <w:rsid w:val="00A647CD"/>
    <w:rsid w:val="00A810CC"/>
    <w:rsid w:val="00B04BAC"/>
    <w:rsid w:val="00B266F1"/>
    <w:rsid w:val="00B8350C"/>
    <w:rsid w:val="00BA0174"/>
    <w:rsid w:val="00BD05A6"/>
    <w:rsid w:val="00BD0D90"/>
    <w:rsid w:val="00BD3BF9"/>
    <w:rsid w:val="00BF2DC8"/>
    <w:rsid w:val="00C8385D"/>
    <w:rsid w:val="00C964A4"/>
    <w:rsid w:val="00CB24EE"/>
    <w:rsid w:val="00CE5CAE"/>
    <w:rsid w:val="00CF1259"/>
    <w:rsid w:val="00CF5A93"/>
    <w:rsid w:val="00CF7AC5"/>
    <w:rsid w:val="00D528F5"/>
    <w:rsid w:val="00D7181F"/>
    <w:rsid w:val="00D91DD2"/>
    <w:rsid w:val="00DA1D66"/>
    <w:rsid w:val="00DD6C95"/>
    <w:rsid w:val="00DE1ADF"/>
    <w:rsid w:val="00DE2C73"/>
    <w:rsid w:val="00E03434"/>
    <w:rsid w:val="00E3272F"/>
    <w:rsid w:val="00E328C8"/>
    <w:rsid w:val="00E554C7"/>
    <w:rsid w:val="00E80E3E"/>
    <w:rsid w:val="00ED5093"/>
    <w:rsid w:val="00F118F4"/>
    <w:rsid w:val="00F2379D"/>
    <w:rsid w:val="00F40798"/>
    <w:rsid w:val="00F725A0"/>
    <w:rsid w:val="00F86FB5"/>
    <w:rsid w:val="00FC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11CC"/>
  <w15:chartTrackingRefBased/>
  <w15:docId w15:val="{A5B34464-B06C-4AB6-9DFC-D06A962B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D53"/>
    <w:pPr>
      <w:ind w:left="720"/>
      <w:contextualSpacing/>
    </w:pPr>
  </w:style>
  <w:style w:type="paragraph" w:customStyle="1" w:styleId="Default">
    <w:name w:val="Default"/>
    <w:rsid w:val="00E32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6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6F1"/>
  </w:style>
  <w:style w:type="paragraph" w:styleId="Footer">
    <w:name w:val="footer"/>
    <w:basedOn w:val="Normal"/>
    <w:link w:val="FooterChar"/>
    <w:uiPriority w:val="99"/>
    <w:unhideWhenUsed/>
    <w:rsid w:val="00B26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6F1"/>
  </w:style>
  <w:style w:type="paragraph" w:styleId="BalloonText">
    <w:name w:val="Balloon Text"/>
    <w:basedOn w:val="Normal"/>
    <w:link w:val="BalloonTextChar"/>
    <w:uiPriority w:val="99"/>
    <w:semiHidden/>
    <w:unhideWhenUsed/>
    <w:rsid w:val="00872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Jana L -FS</dc:creator>
  <cp:keywords/>
  <dc:description/>
  <cp:lastModifiedBy>Waterston, Beth ann - FS</cp:lastModifiedBy>
  <cp:revision>2</cp:revision>
  <dcterms:created xsi:type="dcterms:W3CDTF">2021-02-18T22:41:00Z</dcterms:created>
  <dcterms:modified xsi:type="dcterms:W3CDTF">2021-02-18T22:41:00Z</dcterms:modified>
</cp:coreProperties>
</file>