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E7AA6" w14:textId="5B2B2C59" w:rsidR="00E62536" w:rsidRDefault="00E62536" w:rsidP="00E62536">
      <w:pPr>
        <w:pStyle w:val="NormalWeb"/>
        <w:snapToGrid w:val="0"/>
        <w:spacing w:before="0" w:beforeAutospacing="0" w:after="0" w:afterAutospacing="0"/>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Sherman Bamford</w:t>
      </w:r>
    </w:p>
    <w:p w14:paraId="2C6FF666" w14:textId="22513564" w:rsidR="00E62536" w:rsidRDefault="00E62536" w:rsidP="00E62536">
      <w:pPr>
        <w:pStyle w:val="NormalWeb"/>
        <w:snapToGrid w:val="0"/>
        <w:spacing w:before="0" w:beforeAutospacing="0" w:after="0" w:afterAutospacing="0"/>
        <w:rPr>
          <w:rFonts w:ascii="Helvetica" w:hAnsi="Helvetica"/>
          <w:sz w:val="20"/>
          <w:szCs w:val="20"/>
        </w:rPr>
      </w:pPr>
    </w:p>
    <w:p w14:paraId="2079F5C0" w14:textId="58B09EEB" w:rsidR="00E62536" w:rsidRDefault="00E62536" w:rsidP="00E62536">
      <w:pPr>
        <w:pStyle w:val="NormalWeb"/>
        <w:snapToGrid w:val="0"/>
        <w:spacing w:before="0" w:beforeAutospacing="0" w:after="0" w:afterAutospacing="0"/>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BE4428">
        <w:rPr>
          <w:rFonts w:ascii="Helvetica" w:hAnsi="Helvetica"/>
          <w:sz w:val="20"/>
          <w:szCs w:val="20"/>
        </w:rPr>
        <w:t>Nov. 12, ‘20</w:t>
      </w:r>
    </w:p>
    <w:p w14:paraId="0ACD7783" w14:textId="20AC05B8" w:rsidR="00BE4428" w:rsidRDefault="00BE4428" w:rsidP="00E62536">
      <w:pPr>
        <w:pStyle w:val="NormalWeb"/>
        <w:snapToGrid w:val="0"/>
        <w:spacing w:before="0" w:beforeAutospacing="0" w:after="0" w:afterAutospacing="0"/>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proofErr w:type="spellStart"/>
      <w:r>
        <w:rPr>
          <w:rFonts w:ascii="Helvetica" w:hAnsi="Helvetica"/>
          <w:sz w:val="20"/>
          <w:szCs w:val="20"/>
        </w:rPr>
        <w:t>Forestwide</w:t>
      </w:r>
      <w:proofErr w:type="spellEnd"/>
      <w:r>
        <w:rPr>
          <w:rFonts w:ascii="Helvetica" w:hAnsi="Helvetica"/>
          <w:sz w:val="20"/>
          <w:szCs w:val="20"/>
        </w:rPr>
        <w:t xml:space="preserve"> Oak and Woodland Project</w:t>
      </w:r>
      <w:r>
        <w:rPr>
          <w:rFonts w:ascii="Helvetica" w:hAnsi="Helvetica"/>
          <w:sz w:val="20"/>
          <w:szCs w:val="20"/>
        </w:rPr>
        <w:tab/>
      </w:r>
    </w:p>
    <w:p w14:paraId="39FC664F" w14:textId="77777777" w:rsidR="00E62536" w:rsidRDefault="00E62536" w:rsidP="00E62536">
      <w:pPr>
        <w:pStyle w:val="NormalWeb"/>
        <w:snapToGrid w:val="0"/>
        <w:spacing w:before="0" w:beforeAutospacing="0" w:after="0" w:afterAutospacing="0"/>
        <w:rPr>
          <w:rFonts w:ascii="Helvetica" w:hAnsi="Helvetica"/>
          <w:sz w:val="20"/>
          <w:szCs w:val="20"/>
        </w:rPr>
      </w:pPr>
    </w:p>
    <w:p w14:paraId="7A340166" w14:textId="77777777" w:rsidR="00E62536" w:rsidRDefault="00E62536" w:rsidP="00E62536">
      <w:pPr>
        <w:pStyle w:val="NormalWeb"/>
        <w:snapToGrid w:val="0"/>
        <w:spacing w:before="0" w:beforeAutospacing="0" w:after="0" w:afterAutospacing="0"/>
        <w:rPr>
          <w:rFonts w:ascii="Helvetica" w:hAnsi="Helvetica"/>
          <w:sz w:val="20"/>
          <w:szCs w:val="20"/>
        </w:rPr>
      </w:pPr>
    </w:p>
    <w:p w14:paraId="3561A0BD" w14:textId="77777777" w:rsidR="00E62536" w:rsidRDefault="00E62536" w:rsidP="00E62536">
      <w:pPr>
        <w:pStyle w:val="NormalWeb"/>
        <w:snapToGrid w:val="0"/>
        <w:spacing w:before="0" w:beforeAutospacing="0" w:after="0" w:afterAutospacing="0"/>
        <w:rPr>
          <w:rFonts w:ascii="Helvetica" w:hAnsi="Helvetica"/>
          <w:sz w:val="20"/>
          <w:szCs w:val="20"/>
        </w:rPr>
      </w:pPr>
    </w:p>
    <w:p w14:paraId="4E429FEA" w14:textId="5E4C6F95" w:rsidR="00E62536" w:rsidRDefault="00E62536" w:rsidP="00E62536">
      <w:pPr>
        <w:pStyle w:val="NormalWeb"/>
        <w:snapToGrid w:val="0"/>
        <w:spacing w:before="0" w:beforeAutospacing="0" w:after="0" w:afterAutospacing="0"/>
        <w:rPr>
          <w:rFonts w:ascii="Helvetica" w:hAnsi="Helvetica"/>
          <w:sz w:val="20"/>
          <w:szCs w:val="20"/>
        </w:rPr>
      </w:pPr>
      <w:r>
        <w:rPr>
          <w:rFonts w:ascii="Helvetica" w:hAnsi="Helvetica"/>
          <w:sz w:val="20"/>
          <w:szCs w:val="20"/>
        </w:rPr>
        <w:t xml:space="preserve">Beth </w:t>
      </w:r>
      <w:proofErr w:type="spellStart"/>
      <w:r>
        <w:rPr>
          <w:rFonts w:ascii="Helvetica" w:hAnsi="Helvetica"/>
          <w:sz w:val="20"/>
          <w:szCs w:val="20"/>
        </w:rPr>
        <w:t>LeMaster</w:t>
      </w:r>
      <w:proofErr w:type="spellEnd"/>
      <w:r>
        <w:rPr>
          <w:rFonts w:ascii="Helvetica" w:hAnsi="Helvetica"/>
          <w:sz w:val="20"/>
          <w:szCs w:val="20"/>
        </w:rPr>
        <w:t>, Deputy Forest Supervisor</w:t>
      </w:r>
    </w:p>
    <w:p w14:paraId="63C27D98" w14:textId="1DADAA2C" w:rsidR="00E62536" w:rsidRPr="00A00AA0" w:rsidRDefault="00E62536" w:rsidP="00E62536">
      <w:pPr>
        <w:pStyle w:val="NormalWeb"/>
        <w:snapToGrid w:val="0"/>
        <w:spacing w:before="0" w:beforeAutospacing="0" w:after="0" w:afterAutospacing="0"/>
        <w:rPr>
          <w:rFonts w:ascii="Helvetica" w:hAnsi="Helvetica"/>
          <w:sz w:val="20"/>
          <w:szCs w:val="20"/>
        </w:rPr>
      </w:pPr>
      <w:r>
        <w:rPr>
          <w:rFonts w:ascii="Helvetica" w:hAnsi="Helvetica"/>
          <w:sz w:val="20"/>
          <w:szCs w:val="20"/>
        </w:rPr>
        <w:t>George Washington and Jefferson National Forests</w:t>
      </w:r>
      <w:r w:rsidRPr="00A00AA0">
        <w:rPr>
          <w:rFonts w:ascii="Helvetica" w:hAnsi="Helvetica"/>
          <w:sz w:val="20"/>
          <w:szCs w:val="20"/>
        </w:rPr>
        <w:t xml:space="preserve"> </w:t>
      </w:r>
    </w:p>
    <w:p w14:paraId="37590A6F" w14:textId="77777777" w:rsidR="00E62536" w:rsidRPr="00A00AA0" w:rsidRDefault="00E62536" w:rsidP="00E62536">
      <w:pPr>
        <w:pStyle w:val="NormalWeb"/>
        <w:snapToGrid w:val="0"/>
        <w:spacing w:before="0" w:beforeAutospacing="0" w:after="0" w:afterAutospacing="0"/>
        <w:rPr>
          <w:rFonts w:ascii="Helvetica" w:hAnsi="Helvetica"/>
          <w:sz w:val="20"/>
          <w:szCs w:val="20"/>
        </w:rPr>
      </w:pPr>
      <w:r w:rsidRPr="00A00AA0">
        <w:rPr>
          <w:rFonts w:ascii="Helvetica" w:hAnsi="Helvetica"/>
          <w:sz w:val="20"/>
          <w:szCs w:val="20"/>
        </w:rPr>
        <w:t xml:space="preserve">5162 </w:t>
      </w:r>
      <w:proofErr w:type="spellStart"/>
      <w:r w:rsidRPr="00A00AA0">
        <w:rPr>
          <w:rFonts w:ascii="Helvetica" w:hAnsi="Helvetica"/>
          <w:sz w:val="20"/>
          <w:szCs w:val="20"/>
        </w:rPr>
        <w:t>Valleypointe</w:t>
      </w:r>
      <w:proofErr w:type="spellEnd"/>
      <w:r w:rsidRPr="00A00AA0">
        <w:rPr>
          <w:rFonts w:ascii="Helvetica" w:hAnsi="Helvetica"/>
          <w:sz w:val="20"/>
          <w:szCs w:val="20"/>
        </w:rPr>
        <w:t xml:space="preserve"> Parkway </w:t>
      </w:r>
    </w:p>
    <w:p w14:paraId="6DF21279" w14:textId="77777777" w:rsidR="00E62536" w:rsidRPr="00A00AA0" w:rsidRDefault="00E62536" w:rsidP="00E62536">
      <w:pPr>
        <w:pStyle w:val="NormalWeb"/>
        <w:snapToGrid w:val="0"/>
        <w:spacing w:before="0" w:beforeAutospacing="0" w:after="0" w:afterAutospacing="0"/>
        <w:rPr>
          <w:rFonts w:ascii="Helvetica" w:hAnsi="Helvetica"/>
          <w:sz w:val="20"/>
          <w:szCs w:val="20"/>
        </w:rPr>
      </w:pPr>
      <w:r w:rsidRPr="00A00AA0">
        <w:rPr>
          <w:rFonts w:ascii="Helvetica" w:hAnsi="Helvetica"/>
          <w:sz w:val="20"/>
          <w:szCs w:val="20"/>
        </w:rPr>
        <w:t xml:space="preserve">Roanoke, VA 24019 </w:t>
      </w:r>
    </w:p>
    <w:p w14:paraId="7ABB971A" w14:textId="77777777" w:rsidR="00E62536" w:rsidRDefault="00E62536" w:rsidP="00E62536">
      <w:pPr>
        <w:pStyle w:val="Default"/>
        <w:snapToGrid w:val="0"/>
        <w:rPr>
          <w:color w:val="032EED"/>
          <w:sz w:val="20"/>
          <w:szCs w:val="20"/>
          <w:u w:val="single" w:color="032EED"/>
        </w:rPr>
      </w:pPr>
    </w:p>
    <w:p w14:paraId="09A0B70F" w14:textId="59E27941" w:rsidR="00E62536" w:rsidRDefault="00E62536" w:rsidP="00E62536">
      <w:pPr>
        <w:pStyle w:val="Default"/>
        <w:snapToGrid w:val="0"/>
        <w:rPr>
          <w:color w:val="192937"/>
          <w:sz w:val="20"/>
          <w:szCs w:val="20"/>
          <w:u w:color="192937"/>
        </w:rPr>
      </w:pPr>
      <w:r>
        <w:rPr>
          <w:color w:val="192937"/>
          <w:sz w:val="20"/>
          <w:szCs w:val="20"/>
          <w:u w:color="192937"/>
        </w:rPr>
        <w:t xml:space="preserve">Deputy Supervisor </w:t>
      </w:r>
      <w:proofErr w:type="spellStart"/>
      <w:r>
        <w:rPr>
          <w:color w:val="192937"/>
          <w:sz w:val="20"/>
          <w:szCs w:val="20"/>
          <w:u w:color="192937"/>
        </w:rPr>
        <w:t>LeMaster</w:t>
      </w:r>
      <w:proofErr w:type="spellEnd"/>
      <w:r>
        <w:rPr>
          <w:color w:val="192937"/>
          <w:sz w:val="20"/>
          <w:szCs w:val="20"/>
          <w:u w:color="192937"/>
        </w:rPr>
        <w:t>:</w:t>
      </w:r>
    </w:p>
    <w:p w14:paraId="759B829A" w14:textId="77777777" w:rsidR="00E62536" w:rsidRDefault="00E62536" w:rsidP="00E62536">
      <w:pPr>
        <w:pStyle w:val="Default"/>
        <w:snapToGrid w:val="0"/>
        <w:rPr>
          <w:color w:val="192937"/>
          <w:sz w:val="20"/>
          <w:szCs w:val="20"/>
          <w:u w:color="192937"/>
        </w:rPr>
      </w:pPr>
    </w:p>
    <w:p w14:paraId="69EE4B13" w14:textId="7A6AC6B6" w:rsidR="00E62536" w:rsidRDefault="00E62536" w:rsidP="00E62536">
      <w:pPr>
        <w:pStyle w:val="Default"/>
        <w:snapToGrid w:val="0"/>
        <w:rPr>
          <w:color w:val="192937"/>
          <w:sz w:val="20"/>
          <w:szCs w:val="20"/>
          <w:u w:color="192937"/>
        </w:rPr>
      </w:pPr>
      <w:r>
        <w:rPr>
          <w:color w:val="192937"/>
          <w:sz w:val="20"/>
          <w:szCs w:val="20"/>
          <w:u w:color="192937"/>
        </w:rPr>
        <w:t xml:space="preserve">The following are comments on the </w:t>
      </w:r>
      <w:proofErr w:type="spellStart"/>
      <w:r>
        <w:rPr>
          <w:color w:val="192937"/>
          <w:sz w:val="20"/>
          <w:szCs w:val="20"/>
          <w:u w:color="192937"/>
        </w:rPr>
        <w:t>Forestwide</w:t>
      </w:r>
      <w:proofErr w:type="spellEnd"/>
      <w:r>
        <w:rPr>
          <w:color w:val="192937"/>
          <w:sz w:val="20"/>
          <w:szCs w:val="20"/>
          <w:u w:color="192937"/>
        </w:rPr>
        <w:t xml:space="preserve"> Oak and Woodland project submitted on behalf of the Virginia Chapter of Sierra Club.</w:t>
      </w:r>
    </w:p>
    <w:p w14:paraId="6D5637B0" w14:textId="1FA359A5" w:rsidR="00EF527B" w:rsidRDefault="00EF527B" w:rsidP="00E62536">
      <w:pPr>
        <w:pStyle w:val="Default"/>
        <w:snapToGrid w:val="0"/>
        <w:rPr>
          <w:color w:val="192937"/>
          <w:sz w:val="20"/>
          <w:szCs w:val="20"/>
          <w:u w:color="192937"/>
        </w:rPr>
      </w:pPr>
    </w:p>
    <w:p w14:paraId="2E257981" w14:textId="67C5CD70" w:rsidR="008853A6" w:rsidRDefault="009813A1" w:rsidP="00E62536">
      <w:pPr>
        <w:pStyle w:val="Default"/>
        <w:snapToGrid w:val="0"/>
        <w:rPr>
          <w:color w:val="192937"/>
          <w:sz w:val="20"/>
          <w:szCs w:val="20"/>
          <w:u w:color="192937"/>
        </w:rPr>
      </w:pPr>
      <w:r>
        <w:rPr>
          <w:color w:val="192937"/>
          <w:sz w:val="20"/>
          <w:szCs w:val="20"/>
          <w:u w:color="192937"/>
        </w:rPr>
        <w:t xml:space="preserve">An Environmental Impact Statement is warranted for this project.  The project is </w:t>
      </w:r>
      <w:r w:rsidRPr="00107491">
        <w:rPr>
          <w:color w:val="192937"/>
          <w:sz w:val="20"/>
          <w:szCs w:val="20"/>
          <w:u w:val="single" w:color="192937"/>
        </w:rPr>
        <w:t>of large scale</w:t>
      </w:r>
      <w:r>
        <w:rPr>
          <w:color w:val="192937"/>
          <w:sz w:val="20"/>
          <w:szCs w:val="20"/>
          <w:u w:color="192937"/>
        </w:rPr>
        <w:t>, extending to perhaps 10s of thousands of acres</w:t>
      </w:r>
      <w:r w:rsidR="00DF7CD2">
        <w:rPr>
          <w:color w:val="192937"/>
          <w:sz w:val="20"/>
          <w:szCs w:val="20"/>
          <w:u w:color="192937"/>
        </w:rPr>
        <w:t xml:space="preserve"> with no sunset date</w:t>
      </w:r>
      <w:r>
        <w:rPr>
          <w:color w:val="192937"/>
          <w:sz w:val="20"/>
          <w:szCs w:val="20"/>
          <w:u w:color="192937"/>
        </w:rPr>
        <w:t xml:space="preserve">.  </w:t>
      </w:r>
      <w:r w:rsidR="003B5795">
        <w:rPr>
          <w:color w:val="192937"/>
          <w:sz w:val="20"/>
          <w:szCs w:val="20"/>
          <w:u w:color="192937"/>
        </w:rPr>
        <w:t xml:space="preserve">The project is </w:t>
      </w:r>
      <w:r w:rsidR="003B5795" w:rsidRPr="00107491">
        <w:rPr>
          <w:color w:val="192937"/>
          <w:sz w:val="20"/>
          <w:szCs w:val="20"/>
          <w:u w:val="single" w:color="192937"/>
        </w:rPr>
        <w:t>controversial</w:t>
      </w:r>
      <w:r w:rsidR="003B5795">
        <w:rPr>
          <w:color w:val="192937"/>
          <w:sz w:val="20"/>
          <w:szCs w:val="20"/>
          <w:u w:color="192937"/>
        </w:rPr>
        <w:t xml:space="preserve"> in nature because it proposes a significant departure from NEPA.  </w:t>
      </w:r>
      <w:r>
        <w:rPr>
          <w:color w:val="192937"/>
          <w:sz w:val="20"/>
          <w:szCs w:val="20"/>
          <w:u w:color="192937"/>
        </w:rPr>
        <w:t xml:space="preserve">There is considerable </w:t>
      </w:r>
      <w:r w:rsidRPr="00107491">
        <w:rPr>
          <w:color w:val="192937"/>
          <w:sz w:val="20"/>
          <w:szCs w:val="20"/>
          <w:u w:val="single" w:color="192937"/>
        </w:rPr>
        <w:t>uncertainty</w:t>
      </w:r>
      <w:r>
        <w:rPr>
          <w:color w:val="192937"/>
          <w:sz w:val="20"/>
          <w:szCs w:val="20"/>
          <w:u w:color="192937"/>
        </w:rPr>
        <w:t xml:space="preserve"> about the extent, geographical scope, or resources affected by the project, and </w:t>
      </w:r>
      <w:r w:rsidR="003B5795">
        <w:rPr>
          <w:color w:val="192937"/>
          <w:sz w:val="20"/>
          <w:szCs w:val="20"/>
          <w:u w:color="192937"/>
        </w:rPr>
        <w:t>it is unlikely a Finding of No Significant Impact would apply.  Therefore, an environmental impact statement is warranted.</w:t>
      </w:r>
      <w:r w:rsidR="008853A6">
        <w:rPr>
          <w:color w:val="192937"/>
          <w:sz w:val="20"/>
          <w:szCs w:val="20"/>
          <w:u w:color="192937"/>
        </w:rPr>
        <w:t xml:space="preserve">  </w:t>
      </w:r>
    </w:p>
    <w:p w14:paraId="650F545E" w14:textId="77777777" w:rsidR="008853A6" w:rsidRDefault="008853A6" w:rsidP="00E62536">
      <w:pPr>
        <w:pStyle w:val="Default"/>
        <w:snapToGrid w:val="0"/>
        <w:rPr>
          <w:color w:val="192937"/>
          <w:sz w:val="20"/>
          <w:szCs w:val="20"/>
          <w:u w:color="192937"/>
        </w:rPr>
      </w:pPr>
    </w:p>
    <w:p w14:paraId="5D2A6A0C" w14:textId="4B51C259" w:rsidR="0047074C" w:rsidRDefault="0047074C" w:rsidP="00D828DE">
      <w:pPr>
        <w:pStyle w:val="Default"/>
        <w:snapToGrid w:val="0"/>
        <w:rPr>
          <w:color w:val="192937"/>
          <w:sz w:val="20"/>
          <w:szCs w:val="20"/>
          <w:u w:color="192937"/>
        </w:rPr>
      </w:pPr>
      <w:r>
        <w:rPr>
          <w:color w:val="192937"/>
          <w:sz w:val="20"/>
          <w:szCs w:val="20"/>
          <w:u w:color="192937"/>
        </w:rPr>
        <w:t xml:space="preserve">We support incorporating the alternatives proposed by Southern Environmental Law Center as alternatives in the NEPA analysis.  We are unfamiliar the project in the Cherokee National Forest that was mentioned, and do not necessarily endorse it without further study at this point, but support expanding the alternatives under consideration to include concepts and processes such as these.  </w:t>
      </w:r>
      <w:r w:rsidR="00CA0522">
        <w:rPr>
          <w:color w:val="192937"/>
          <w:sz w:val="20"/>
          <w:szCs w:val="20"/>
          <w:u w:color="192937"/>
        </w:rPr>
        <w:t xml:space="preserve">We may endorse it (or decide not to) at a future point in time.  </w:t>
      </w:r>
      <w:r>
        <w:rPr>
          <w:color w:val="192937"/>
          <w:sz w:val="20"/>
          <w:szCs w:val="20"/>
          <w:u w:color="192937"/>
        </w:rPr>
        <w:t xml:space="preserve">The Forest Service should also consider an alternative that </w:t>
      </w:r>
      <w:r w:rsidR="00CA0522">
        <w:rPr>
          <w:color w:val="192937"/>
          <w:sz w:val="20"/>
          <w:szCs w:val="20"/>
          <w:u w:color="192937"/>
        </w:rPr>
        <w:t xml:space="preserve">appropriately </w:t>
      </w:r>
      <w:r>
        <w:rPr>
          <w:color w:val="192937"/>
          <w:sz w:val="20"/>
          <w:szCs w:val="20"/>
          <w:u w:color="192937"/>
        </w:rPr>
        <w:t>manages white pine stands using techniques other than commercial logging.</w:t>
      </w:r>
      <w:r w:rsidR="00625AC0">
        <w:rPr>
          <w:color w:val="192937"/>
          <w:sz w:val="20"/>
          <w:szCs w:val="20"/>
          <w:u w:color="192937"/>
        </w:rPr>
        <w:t xml:space="preserve">  The use of commercial logging could bias the selection of stands towards those that are </w:t>
      </w:r>
      <w:r w:rsidR="00CA0522">
        <w:rPr>
          <w:color w:val="192937"/>
          <w:sz w:val="20"/>
          <w:szCs w:val="20"/>
          <w:u w:color="192937"/>
        </w:rPr>
        <w:t>primar</w:t>
      </w:r>
      <w:r w:rsidR="00750110">
        <w:rPr>
          <w:color w:val="192937"/>
          <w:sz w:val="20"/>
          <w:szCs w:val="20"/>
          <w:u w:color="192937"/>
        </w:rPr>
        <w:t>i</w:t>
      </w:r>
      <w:r w:rsidR="00CA0522">
        <w:rPr>
          <w:color w:val="192937"/>
          <w:sz w:val="20"/>
          <w:szCs w:val="20"/>
          <w:u w:color="192937"/>
        </w:rPr>
        <w:t xml:space="preserve">ly </w:t>
      </w:r>
      <w:r w:rsidR="00625AC0">
        <w:rPr>
          <w:color w:val="192937"/>
          <w:sz w:val="20"/>
          <w:szCs w:val="20"/>
          <w:u w:color="192937"/>
        </w:rPr>
        <w:t>valuable for commercial logging, rather than those that warrant treatment for ecological reasons.</w:t>
      </w:r>
    </w:p>
    <w:p w14:paraId="2C2C1513" w14:textId="77777777" w:rsidR="0047074C" w:rsidRDefault="0047074C" w:rsidP="00D828DE">
      <w:pPr>
        <w:pStyle w:val="Default"/>
        <w:snapToGrid w:val="0"/>
        <w:rPr>
          <w:color w:val="192937"/>
          <w:sz w:val="20"/>
          <w:szCs w:val="20"/>
          <w:u w:color="192937"/>
        </w:rPr>
      </w:pPr>
    </w:p>
    <w:p w14:paraId="22C16777" w14:textId="3F334007" w:rsidR="00D828DE" w:rsidRDefault="008853A6" w:rsidP="00D828DE">
      <w:pPr>
        <w:pStyle w:val="Default"/>
        <w:snapToGrid w:val="0"/>
        <w:rPr>
          <w:color w:val="192937"/>
          <w:sz w:val="20"/>
          <w:szCs w:val="20"/>
          <w:u w:color="192937"/>
        </w:rPr>
      </w:pPr>
      <w:r>
        <w:rPr>
          <w:color w:val="192937"/>
          <w:sz w:val="20"/>
          <w:szCs w:val="20"/>
          <w:u w:color="192937"/>
        </w:rPr>
        <w:t xml:space="preserve">The project is </w:t>
      </w:r>
      <w:r w:rsidR="002D3609">
        <w:rPr>
          <w:color w:val="192937"/>
          <w:sz w:val="20"/>
          <w:szCs w:val="20"/>
          <w:u w:color="192937"/>
        </w:rPr>
        <w:t xml:space="preserve">too </w:t>
      </w:r>
      <w:r>
        <w:rPr>
          <w:color w:val="192937"/>
          <w:sz w:val="20"/>
          <w:szCs w:val="20"/>
          <w:u w:color="192937"/>
        </w:rPr>
        <w:t xml:space="preserve">wide in scope and could include clearcutting or other logging in stands with only minor or tangential white pine component including stands with only a 30% white pine component, white pine </w:t>
      </w:r>
      <w:proofErr w:type="gramStart"/>
      <w:r>
        <w:rPr>
          <w:color w:val="192937"/>
          <w:sz w:val="20"/>
          <w:szCs w:val="20"/>
          <w:u w:color="192937"/>
        </w:rPr>
        <w:t>-  cove</w:t>
      </w:r>
      <w:proofErr w:type="gramEnd"/>
      <w:r>
        <w:rPr>
          <w:color w:val="192937"/>
          <w:sz w:val="20"/>
          <w:szCs w:val="20"/>
          <w:u w:color="192937"/>
        </w:rPr>
        <w:t xml:space="preserve"> hardwood stands, and white pine </w:t>
      </w:r>
      <w:r>
        <w:rPr>
          <w:color w:val="192937"/>
          <w:sz w:val="20"/>
          <w:szCs w:val="20"/>
          <w:u w:color="192937"/>
        </w:rPr>
        <w:t>–</w:t>
      </w:r>
      <w:r>
        <w:rPr>
          <w:color w:val="192937"/>
          <w:sz w:val="20"/>
          <w:szCs w:val="20"/>
          <w:u w:color="192937"/>
        </w:rPr>
        <w:t xml:space="preserve"> upland hardwood stands.</w:t>
      </w:r>
      <w:r w:rsidR="001E5A58">
        <w:rPr>
          <w:color w:val="192937"/>
          <w:sz w:val="20"/>
          <w:szCs w:val="20"/>
          <w:u w:color="192937"/>
        </w:rPr>
        <w:t xml:space="preserve">  The analysis should disclose how many such acres </w:t>
      </w:r>
      <w:r w:rsidR="00C47B74">
        <w:rPr>
          <w:color w:val="192937"/>
          <w:sz w:val="20"/>
          <w:szCs w:val="20"/>
          <w:u w:color="192937"/>
        </w:rPr>
        <w:t xml:space="preserve">of stands with only a 30% white pine component, white pine </w:t>
      </w:r>
      <w:proofErr w:type="gramStart"/>
      <w:r w:rsidR="00C47B74">
        <w:rPr>
          <w:color w:val="192937"/>
          <w:sz w:val="20"/>
          <w:szCs w:val="20"/>
          <w:u w:color="192937"/>
        </w:rPr>
        <w:t>-  cove</w:t>
      </w:r>
      <w:proofErr w:type="gramEnd"/>
      <w:r w:rsidR="00C47B74">
        <w:rPr>
          <w:color w:val="192937"/>
          <w:sz w:val="20"/>
          <w:szCs w:val="20"/>
          <w:u w:color="192937"/>
        </w:rPr>
        <w:t xml:space="preserve"> hardwood stands, and white pine </w:t>
      </w:r>
      <w:r w:rsidR="00C47B74">
        <w:rPr>
          <w:color w:val="192937"/>
          <w:sz w:val="20"/>
          <w:szCs w:val="20"/>
          <w:u w:color="192937"/>
        </w:rPr>
        <w:t>–</w:t>
      </w:r>
      <w:r w:rsidR="00C47B74">
        <w:rPr>
          <w:color w:val="192937"/>
          <w:sz w:val="20"/>
          <w:szCs w:val="20"/>
          <w:u w:color="192937"/>
        </w:rPr>
        <w:t xml:space="preserve"> upland hardwood stands </w:t>
      </w:r>
      <w:r w:rsidR="001E5A58">
        <w:rPr>
          <w:color w:val="192937"/>
          <w:sz w:val="20"/>
          <w:szCs w:val="20"/>
          <w:u w:color="192937"/>
        </w:rPr>
        <w:t xml:space="preserve">exist across the GWJNFs and </w:t>
      </w:r>
      <w:r w:rsidR="00C47B74">
        <w:rPr>
          <w:color w:val="192937"/>
          <w:sz w:val="20"/>
          <w:szCs w:val="20"/>
          <w:u w:color="192937"/>
        </w:rPr>
        <w:t>how these areas and resources dependent upon them will be impacted.</w:t>
      </w:r>
      <w:r w:rsidR="00D828DE">
        <w:rPr>
          <w:color w:val="192937"/>
          <w:sz w:val="20"/>
          <w:szCs w:val="20"/>
          <w:u w:color="192937"/>
        </w:rPr>
        <w:t xml:space="preserve">   How large would the </w:t>
      </w:r>
      <w:r w:rsidR="00D828DE">
        <w:rPr>
          <w:color w:val="192937"/>
          <w:sz w:val="20"/>
          <w:szCs w:val="20"/>
          <w:u w:color="192937"/>
        </w:rPr>
        <w:t>“</w:t>
      </w:r>
      <w:r w:rsidR="00D828DE">
        <w:rPr>
          <w:color w:val="192937"/>
          <w:sz w:val="20"/>
          <w:szCs w:val="20"/>
          <w:u w:color="192937"/>
        </w:rPr>
        <w:t>implementation projects</w:t>
      </w:r>
      <w:r w:rsidR="00D828DE">
        <w:rPr>
          <w:color w:val="192937"/>
          <w:sz w:val="20"/>
          <w:szCs w:val="20"/>
          <w:u w:color="192937"/>
        </w:rPr>
        <w:t>”</w:t>
      </w:r>
      <w:r w:rsidR="00D828DE">
        <w:rPr>
          <w:color w:val="192937"/>
          <w:sz w:val="20"/>
          <w:szCs w:val="20"/>
          <w:u w:color="192937"/>
        </w:rPr>
        <w:t xml:space="preserve"> be?  How closely would they be concentrated?  What resources would be impacted?</w:t>
      </w:r>
    </w:p>
    <w:p w14:paraId="1E2B8C53" w14:textId="07B307E0" w:rsidR="008853A6" w:rsidRDefault="008853A6" w:rsidP="00E62536">
      <w:pPr>
        <w:pStyle w:val="Default"/>
        <w:snapToGrid w:val="0"/>
        <w:rPr>
          <w:color w:val="192937"/>
          <w:sz w:val="20"/>
          <w:szCs w:val="20"/>
          <w:u w:color="192937"/>
        </w:rPr>
      </w:pPr>
    </w:p>
    <w:p w14:paraId="581C60CA" w14:textId="6F2A12FA" w:rsidR="000411F6" w:rsidRDefault="000F1C71" w:rsidP="000411F6">
      <w:pPr>
        <w:pStyle w:val="Default"/>
        <w:snapToGrid w:val="0"/>
        <w:rPr>
          <w:color w:val="192937"/>
          <w:sz w:val="20"/>
          <w:szCs w:val="20"/>
          <w:u w:color="192937"/>
        </w:rPr>
      </w:pPr>
      <w:r>
        <w:rPr>
          <w:color w:val="192937"/>
          <w:sz w:val="20"/>
          <w:szCs w:val="20"/>
          <w:u w:color="192937"/>
        </w:rPr>
        <w:t xml:space="preserve">The project could impact old </w:t>
      </w:r>
      <w:r w:rsidR="001F7572">
        <w:rPr>
          <w:color w:val="192937"/>
          <w:sz w:val="20"/>
          <w:szCs w:val="20"/>
          <w:u w:color="192937"/>
        </w:rPr>
        <w:t xml:space="preserve">growth </w:t>
      </w:r>
      <w:r>
        <w:rPr>
          <w:color w:val="192937"/>
          <w:sz w:val="20"/>
          <w:szCs w:val="20"/>
          <w:u w:color="192937"/>
        </w:rPr>
        <w:t>forest, late successional forest</w:t>
      </w:r>
      <w:r w:rsidR="001F7572">
        <w:rPr>
          <w:color w:val="192937"/>
          <w:sz w:val="20"/>
          <w:szCs w:val="20"/>
          <w:u w:color="192937"/>
        </w:rPr>
        <w:t xml:space="preserve"> adjacent to old growth tracts</w:t>
      </w:r>
      <w:r>
        <w:rPr>
          <w:color w:val="192937"/>
          <w:sz w:val="20"/>
          <w:szCs w:val="20"/>
          <w:u w:color="192937"/>
        </w:rPr>
        <w:t xml:space="preserve">, potential wilderness areas, roadless areas, </w:t>
      </w:r>
      <w:r w:rsidR="00750110">
        <w:rPr>
          <w:color w:val="192937"/>
          <w:sz w:val="20"/>
          <w:szCs w:val="20"/>
          <w:u w:color="192937"/>
        </w:rPr>
        <w:t xml:space="preserve">mountain treasure areas, </w:t>
      </w:r>
      <w:r>
        <w:rPr>
          <w:color w:val="192937"/>
          <w:sz w:val="20"/>
          <w:szCs w:val="20"/>
          <w:u w:color="192937"/>
        </w:rPr>
        <w:t xml:space="preserve">wild and scenic river (and eligible) corridors, the Appalachian Trail corridor, scenic areas, geographical areas, botanical areas, special areas, </w:t>
      </w:r>
      <w:r w:rsidR="001F7572">
        <w:rPr>
          <w:color w:val="192937"/>
          <w:sz w:val="20"/>
          <w:szCs w:val="20"/>
          <w:u w:color="192937"/>
        </w:rPr>
        <w:t xml:space="preserve">Peaks of Otter salamander management areas, </w:t>
      </w:r>
      <w:r w:rsidR="00152FDF">
        <w:rPr>
          <w:color w:val="192937"/>
          <w:sz w:val="20"/>
          <w:szCs w:val="20"/>
          <w:u w:color="192937"/>
        </w:rPr>
        <w:t>TESLR bat habita</w:t>
      </w:r>
      <w:r w:rsidR="001F7572">
        <w:rPr>
          <w:color w:val="192937"/>
          <w:sz w:val="20"/>
          <w:szCs w:val="20"/>
          <w:u w:color="192937"/>
        </w:rPr>
        <w:t xml:space="preserve">t areas, </w:t>
      </w:r>
      <w:r w:rsidR="00152FDF">
        <w:rPr>
          <w:color w:val="192937"/>
          <w:sz w:val="20"/>
          <w:szCs w:val="20"/>
          <w:u w:color="192937"/>
        </w:rPr>
        <w:t xml:space="preserve">TESLR salamander habitat areas, wood turtle habitat areas, </w:t>
      </w:r>
      <w:r w:rsidR="001F7572">
        <w:rPr>
          <w:color w:val="192937"/>
          <w:sz w:val="20"/>
          <w:szCs w:val="20"/>
          <w:u w:color="192937"/>
        </w:rPr>
        <w:t xml:space="preserve">rare communities, </w:t>
      </w:r>
      <w:r w:rsidR="00152FDF">
        <w:rPr>
          <w:color w:val="192937"/>
          <w:sz w:val="20"/>
          <w:szCs w:val="20"/>
          <w:u w:color="192937"/>
        </w:rPr>
        <w:t xml:space="preserve">Natural Heritage conservation sites, </w:t>
      </w:r>
      <w:r w:rsidR="001F7572">
        <w:rPr>
          <w:color w:val="192937"/>
          <w:sz w:val="20"/>
          <w:szCs w:val="20"/>
          <w:u w:color="192937"/>
        </w:rPr>
        <w:t xml:space="preserve">TESLR species habitats, backcountry areas, remote backcountry recreation areas, </w:t>
      </w:r>
      <w:r w:rsidR="001E5A58">
        <w:rPr>
          <w:color w:val="192937"/>
          <w:sz w:val="20"/>
          <w:szCs w:val="20"/>
          <w:u w:color="192937"/>
        </w:rPr>
        <w:t>semi</w:t>
      </w:r>
      <w:r w:rsidR="00750110">
        <w:rPr>
          <w:color w:val="192937"/>
          <w:sz w:val="20"/>
          <w:szCs w:val="20"/>
          <w:u w:color="192937"/>
        </w:rPr>
        <w:t>-</w:t>
      </w:r>
      <w:r w:rsidR="001E5A58">
        <w:rPr>
          <w:color w:val="192937"/>
          <w:sz w:val="20"/>
          <w:szCs w:val="20"/>
          <w:u w:color="192937"/>
        </w:rPr>
        <w:t xml:space="preserve">primitive areas, </w:t>
      </w:r>
      <w:r w:rsidR="00416FE1">
        <w:rPr>
          <w:color w:val="192937"/>
          <w:sz w:val="20"/>
          <w:szCs w:val="20"/>
          <w:u w:color="192937"/>
        </w:rPr>
        <w:t>and other important areas.</w:t>
      </w:r>
      <w:r w:rsidR="00B90614">
        <w:rPr>
          <w:color w:val="192937"/>
          <w:sz w:val="20"/>
          <w:szCs w:val="20"/>
          <w:u w:color="192937"/>
        </w:rPr>
        <w:t xml:space="preserve">  Because of the way this project is set up, the public does not know how these areas (or species dependent on them) will be impacted.  The Forest Service should commit to avoiding such areas in the dec</w:t>
      </w:r>
      <w:r w:rsidR="008068E5">
        <w:rPr>
          <w:color w:val="192937"/>
          <w:sz w:val="20"/>
          <w:szCs w:val="20"/>
          <w:u w:color="192937"/>
        </w:rPr>
        <w:t>ision.</w:t>
      </w:r>
      <w:r w:rsidR="001E5A58">
        <w:rPr>
          <w:color w:val="192937"/>
          <w:sz w:val="20"/>
          <w:szCs w:val="20"/>
          <w:u w:color="192937"/>
        </w:rPr>
        <w:t xml:space="preserve">  </w:t>
      </w:r>
      <w:r w:rsidR="000411F6">
        <w:rPr>
          <w:color w:val="192937"/>
          <w:sz w:val="20"/>
          <w:szCs w:val="20"/>
          <w:u w:color="192937"/>
        </w:rPr>
        <w:t xml:space="preserve">The analysis should disclose how many acres of stands with only a 30% white pine component, white pine </w:t>
      </w:r>
      <w:proofErr w:type="gramStart"/>
      <w:r w:rsidR="000411F6">
        <w:rPr>
          <w:color w:val="192937"/>
          <w:sz w:val="20"/>
          <w:szCs w:val="20"/>
          <w:u w:color="192937"/>
        </w:rPr>
        <w:t>-  cove</w:t>
      </w:r>
      <w:proofErr w:type="gramEnd"/>
      <w:r w:rsidR="000411F6">
        <w:rPr>
          <w:color w:val="192937"/>
          <w:sz w:val="20"/>
          <w:szCs w:val="20"/>
          <w:u w:color="192937"/>
        </w:rPr>
        <w:t xml:space="preserve"> hardwood stands, and white pine </w:t>
      </w:r>
      <w:r w:rsidR="000411F6">
        <w:rPr>
          <w:color w:val="192937"/>
          <w:sz w:val="20"/>
          <w:szCs w:val="20"/>
          <w:u w:color="192937"/>
        </w:rPr>
        <w:t>–</w:t>
      </w:r>
      <w:r w:rsidR="000411F6">
        <w:rPr>
          <w:color w:val="192937"/>
          <w:sz w:val="20"/>
          <w:szCs w:val="20"/>
          <w:u w:color="192937"/>
        </w:rPr>
        <w:t xml:space="preserve"> upland hardwood stands exist in such areas across the GWJNFs and how these areas and resources dependent upon them will be impacted.</w:t>
      </w:r>
    </w:p>
    <w:p w14:paraId="59269DB6" w14:textId="397D2450" w:rsidR="00CC2535" w:rsidRDefault="00CC2535" w:rsidP="000411F6">
      <w:pPr>
        <w:pStyle w:val="Default"/>
        <w:snapToGrid w:val="0"/>
        <w:rPr>
          <w:color w:val="192937"/>
          <w:sz w:val="20"/>
          <w:szCs w:val="20"/>
          <w:u w:color="192937"/>
        </w:rPr>
      </w:pPr>
    </w:p>
    <w:p w14:paraId="10E6D8B2" w14:textId="729D35E4" w:rsidR="00CC2535" w:rsidRDefault="00CC2535" w:rsidP="000411F6">
      <w:pPr>
        <w:pStyle w:val="Default"/>
        <w:snapToGrid w:val="0"/>
        <w:rPr>
          <w:color w:val="192937"/>
          <w:sz w:val="20"/>
          <w:szCs w:val="20"/>
          <w:u w:color="192937"/>
        </w:rPr>
      </w:pPr>
      <w:r>
        <w:rPr>
          <w:color w:val="192937"/>
          <w:sz w:val="20"/>
          <w:szCs w:val="20"/>
          <w:u w:color="192937"/>
        </w:rPr>
        <w:lastRenderedPageBreak/>
        <w:t>No maps are provided in the scoping notice.  Maps of the areas potentially impacted should be provided and the public should be allowed to comment in an official comment period, based on this new information.</w:t>
      </w:r>
    </w:p>
    <w:p w14:paraId="14295D59" w14:textId="11EEDA01" w:rsidR="00386BAC" w:rsidRDefault="00386BAC" w:rsidP="000411F6">
      <w:pPr>
        <w:pStyle w:val="Default"/>
        <w:snapToGrid w:val="0"/>
        <w:rPr>
          <w:color w:val="192937"/>
          <w:sz w:val="20"/>
          <w:szCs w:val="20"/>
          <w:u w:color="192937"/>
        </w:rPr>
      </w:pPr>
    </w:p>
    <w:p w14:paraId="132E1475" w14:textId="065CB5D2" w:rsidR="00386BAC" w:rsidRDefault="00386BAC" w:rsidP="000411F6">
      <w:pPr>
        <w:pStyle w:val="Default"/>
        <w:snapToGrid w:val="0"/>
        <w:rPr>
          <w:color w:val="192937"/>
          <w:sz w:val="20"/>
          <w:szCs w:val="20"/>
          <w:u w:color="192937"/>
        </w:rPr>
      </w:pPr>
      <w:r>
        <w:rPr>
          <w:color w:val="192937"/>
          <w:sz w:val="20"/>
          <w:szCs w:val="20"/>
          <w:u w:color="192937"/>
        </w:rPr>
        <w:t xml:space="preserve">The scoping notice does not specify </w:t>
      </w:r>
      <w:r w:rsidR="00A766F7">
        <w:rPr>
          <w:color w:val="192937"/>
          <w:sz w:val="20"/>
          <w:szCs w:val="20"/>
          <w:u w:color="192937"/>
        </w:rPr>
        <w:t xml:space="preserve">how much logging would occur per year across the GWJNFs.  The SN states that </w:t>
      </w:r>
      <w:r w:rsidR="00A766F7">
        <w:rPr>
          <w:color w:val="192937"/>
          <w:sz w:val="20"/>
          <w:szCs w:val="20"/>
          <w:u w:color="192937"/>
        </w:rPr>
        <w:t>“</w:t>
      </w:r>
      <w:r w:rsidR="00A766F7">
        <w:rPr>
          <w:color w:val="192937"/>
          <w:sz w:val="20"/>
          <w:szCs w:val="20"/>
          <w:u w:color="192937"/>
        </w:rPr>
        <w:t>the average annual acreages</w:t>
      </w:r>
      <w:r w:rsidR="00A766F7">
        <w:rPr>
          <w:color w:val="192937"/>
          <w:sz w:val="20"/>
          <w:szCs w:val="20"/>
          <w:u w:color="192937"/>
        </w:rPr>
        <w:t>”</w:t>
      </w:r>
      <w:r w:rsidR="00A766F7">
        <w:rPr>
          <w:color w:val="192937"/>
          <w:sz w:val="20"/>
          <w:szCs w:val="20"/>
          <w:u w:color="192937"/>
        </w:rPr>
        <w:t xml:space="preserve"> would be 1,800 acres per year on the GJNFs but does not specify the maximum acreage that would be logged or the minimum acreage, what resources might be impacted, what the cumulative impacts would be or whether the total logging would be in compliance with the Forest Plans, laws, regulations and other provisions.</w:t>
      </w:r>
      <w:r w:rsidR="003F3611">
        <w:rPr>
          <w:color w:val="192937"/>
          <w:sz w:val="20"/>
          <w:szCs w:val="20"/>
          <w:u w:color="192937"/>
        </w:rPr>
        <w:t xml:space="preserve"> </w:t>
      </w:r>
    </w:p>
    <w:p w14:paraId="7BC92078" w14:textId="6DEF88FD" w:rsidR="00152FDF" w:rsidRDefault="00152FDF" w:rsidP="000411F6">
      <w:pPr>
        <w:pStyle w:val="Default"/>
        <w:snapToGrid w:val="0"/>
        <w:rPr>
          <w:color w:val="192937"/>
          <w:sz w:val="20"/>
          <w:szCs w:val="20"/>
          <w:u w:color="192937"/>
        </w:rPr>
      </w:pPr>
    </w:p>
    <w:p w14:paraId="1967333F" w14:textId="10F159B6" w:rsidR="00152FDF" w:rsidRDefault="00152FDF" w:rsidP="000411F6">
      <w:pPr>
        <w:pStyle w:val="Default"/>
        <w:snapToGrid w:val="0"/>
        <w:rPr>
          <w:color w:val="192937"/>
          <w:sz w:val="20"/>
          <w:szCs w:val="20"/>
          <w:u w:color="192937"/>
        </w:rPr>
      </w:pPr>
      <w:r>
        <w:rPr>
          <w:color w:val="192937"/>
          <w:sz w:val="20"/>
          <w:szCs w:val="20"/>
          <w:u w:color="192937"/>
        </w:rPr>
        <w:t xml:space="preserve">Roads are limited </w:t>
      </w:r>
      <w:r w:rsidR="00A83EEF">
        <w:rPr>
          <w:color w:val="192937"/>
          <w:sz w:val="20"/>
          <w:szCs w:val="20"/>
          <w:u w:color="192937"/>
        </w:rPr>
        <w:t xml:space="preserve">to </w:t>
      </w:r>
      <w:r w:rsidR="00A83EEF">
        <w:rPr>
          <w:color w:val="192937"/>
          <w:sz w:val="20"/>
          <w:szCs w:val="20"/>
          <w:u w:color="192937"/>
        </w:rPr>
        <w:t>“</w:t>
      </w:r>
      <w:r w:rsidR="00A83EEF">
        <w:rPr>
          <w:color w:val="192937"/>
          <w:sz w:val="20"/>
          <w:szCs w:val="20"/>
          <w:u w:color="192937"/>
        </w:rPr>
        <w:t>one mile</w:t>
      </w:r>
      <w:r w:rsidR="00A83EEF">
        <w:rPr>
          <w:color w:val="192937"/>
          <w:sz w:val="20"/>
          <w:szCs w:val="20"/>
          <w:u w:color="192937"/>
        </w:rPr>
        <w:t>”</w:t>
      </w:r>
      <w:r w:rsidR="00A83EEF">
        <w:rPr>
          <w:color w:val="192937"/>
          <w:sz w:val="20"/>
          <w:szCs w:val="20"/>
          <w:u w:color="192937"/>
        </w:rPr>
        <w:t xml:space="preserve"> per </w:t>
      </w:r>
      <w:r w:rsidR="00A83EEF">
        <w:rPr>
          <w:color w:val="192937"/>
          <w:sz w:val="20"/>
          <w:szCs w:val="20"/>
          <w:u w:color="192937"/>
        </w:rPr>
        <w:t>“</w:t>
      </w:r>
      <w:r w:rsidR="00A83EEF">
        <w:rPr>
          <w:color w:val="192937"/>
          <w:sz w:val="20"/>
          <w:szCs w:val="20"/>
          <w:u w:color="192937"/>
        </w:rPr>
        <w:t>implementation project</w:t>
      </w:r>
      <w:r w:rsidR="00A83EEF">
        <w:rPr>
          <w:color w:val="192937"/>
          <w:sz w:val="20"/>
          <w:szCs w:val="20"/>
          <w:u w:color="192937"/>
        </w:rPr>
        <w:t>”</w:t>
      </w:r>
      <w:r w:rsidR="00A83EEF">
        <w:rPr>
          <w:color w:val="192937"/>
          <w:sz w:val="20"/>
          <w:szCs w:val="20"/>
          <w:u w:color="192937"/>
        </w:rPr>
        <w:t xml:space="preserve"> but the FS does not state how many implementation projects would be allowed per year, or how many implementation projects could occur within any geographical area.  </w:t>
      </w:r>
      <w:r w:rsidR="00386FFE">
        <w:rPr>
          <w:color w:val="192937"/>
          <w:sz w:val="20"/>
          <w:szCs w:val="20"/>
          <w:u w:color="192937"/>
        </w:rPr>
        <w:t xml:space="preserve">The FS should disclose how many roads would be permitted under this project, how close the roads would be to one another, the total mileage of such roads, or what resources would be impacted.  </w:t>
      </w:r>
      <w:r w:rsidR="0012405E">
        <w:rPr>
          <w:color w:val="192937"/>
          <w:sz w:val="20"/>
          <w:szCs w:val="20"/>
          <w:u w:color="192937"/>
        </w:rPr>
        <w:t>The FS should focus on areas close to existing roads and should not construct any new roads as part of this project.</w:t>
      </w:r>
    </w:p>
    <w:p w14:paraId="1A650768" w14:textId="30D9EAF6" w:rsidR="00386FFE" w:rsidRDefault="00386FFE" w:rsidP="000411F6">
      <w:pPr>
        <w:pStyle w:val="Default"/>
        <w:snapToGrid w:val="0"/>
        <w:rPr>
          <w:color w:val="192937"/>
          <w:sz w:val="20"/>
          <w:szCs w:val="20"/>
          <w:u w:color="192937"/>
        </w:rPr>
      </w:pPr>
    </w:p>
    <w:p w14:paraId="2F264391" w14:textId="29852FDE" w:rsidR="00386FFE" w:rsidRDefault="00386FFE" w:rsidP="00386FFE">
      <w:pPr>
        <w:pStyle w:val="Default"/>
        <w:snapToGrid w:val="0"/>
        <w:rPr>
          <w:color w:val="192937"/>
          <w:sz w:val="20"/>
          <w:szCs w:val="20"/>
          <w:u w:color="192937"/>
        </w:rPr>
      </w:pPr>
      <w:r>
        <w:rPr>
          <w:color w:val="192937"/>
          <w:sz w:val="20"/>
          <w:szCs w:val="20"/>
          <w:u w:color="192937"/>
        </w:rPr>
        <w:t>No maps of roads</w:t>
      </w:r>
      <w:r w:rsidR="00853907">
        <w:rPr>
          <w:color w:val="192937"/>
          <w:sz w:val="20"/>
          <w:szCs w:val="20"/>
          <w:u w:color="192937"/>
        </w:rPr>
        <w:t xml:space="preserve"> </w:t>
      </w:r>
      <w:r>
        <w:rPr>
          <w:color w:val="192937"/>
          <w:sz w:val="20"/>
          <w:szCs w:val="20"/>
          <w:u w:color="192937"/>
        </w:rPr>
        <w:t>are provided in the scoping notice.  Maps of the roads and areas potentially impacted should be provided and the public should be allowed to comment in an official comment period, based on this new information.</w:t>
      </w:r>
    </w:p>
    <w:p w14:paraId="758A0E6B" w14:textId="4C58169B" w:rsidR="00D34CC3" w:rsidRDefault="00D34CC3" w:rsidP="00386FFE">
      <w:pPr>
        <w:pStyle w:val="Default"/>
        <w:snapToGrid w:val="0"/>
        <w:rPr>
          <w:color w:val="192937"/>
          <w:sz w:val="20"/>
          <w:szCs w:val="20"/>
          <w:u w:color="192937"/>
        </w:rPr>
      </w:pPr>
    </w:p>
    <w:p w14:paraId="6A681C56" w14:textId="045E3F26" w:rsidR="00D34CC3" w:rsidRDefault="00D34CC3" w:rsidP="00386FFE">
      <w:pPr>
        <w:pStyle w:val="Default"/>
        <w:snapToGrid w:val="0"/>
        <w:rPr>
          <w:color w:val="192937"/>
          <w:sz w:val="20"/>
          <w:szCs w:val="20"/>
          <w:u w:color="192937"/>
        </w:rPr>
      </w:pPr>
      <w:r>
        <w:rPr>
          <w:color w:val="192937"/>
          <w:sz w:val="20"/>
          <w:szCs w:val="20"/>
          <w:u w:color="192937"/>
        </w:rPr>
        <w:t xml:space="preserve">The </w:t>
      </w:r>
      <w:r w:rsidR="00DC3CC7">
        <w:rPr>
          <w:color w:val="192937"/>
          <w:sz w:val="20"/>
          <w:szCs w:val="20"/>
          <w:u w:color="192937"/>
        </w:rPr>
        <w:t xml:space="preserve">specific </w:t>
      </w:r>
      <w:r>
        <w:rPr>
          <w:color w:val="192937"/>
          <w:sz w:val="20"/>
          <w:szCs w:val="20"/>
          <w:u w:color="192937"/>
        </w:rPr>
        <w:t xml:space="preserve">way the NEPA process is to operate </w:t>
      </w:r>
      <w:r w:rsidR="00DC3CC7">
        <w:rPr>
          <w:color w:val="192937"/>
          <w:sz w:val="20"/>
          <w:szCs w:val="20"/>
          <w:u w:color="192937"/>
        </w:rPr>
        <w:t xml:space="preserve">for this project </w:t>
      </w:r>
      <w:r>
        <w:rPr>
          <w:color w:val="192937"/>
          <w:sz w:val="20"/>
          <w:szCs w:val="20"/>
          <w:u w:color="192937"/>
        </w:rPr>
        <w:t xml:space="preserve">after the initial decision is amorphous and not fully described in the SN.  </w:t>
      </w:r>
      <w:r w:rsidR="00B95152">
        <w:rPr>
          <w:color w:val="192937"/>
          <w:sz w:val="20"/>
          <w:szCs w:val="20"/>
          <w:u w:color="192937"/>
        </w:rPr>
        <w:t xml:space="preserve">Analysis for future </w:t>
      </w:r>
      <w:r w:rsidR="00B95152">
        <w:rPr>
          <w:color w:val="192937"/>
          <w:sz w:val="20"/>
          <w:szCs w:val="20"/>
          <w:u w:color="192937"/>
        </w:rPr>
        <w:t>“</w:t>
      </w:r>
      <w:r w:rsidR="00B95152">
        <w:rPr>
          <w:color w:val="192937"/>
          <w:sz w:val="20"/>
          <w:szCs w:val="20"/>
          <w:u w:color="192937"/>
        </w:rPr>
        <w:t>implementation projects</w:t>
      </w:r>
      <w:r w:rsidR="00B95152">
        <w:rPr>
          <w:color w:val="192937"/>
          <w:sz w:val="20"/>
          <w:szCs w:val="20"/>
          <w:u w:color="192937"/>
        </w:rPr>
        <w:t>”</w:t>
      </w:r>
      <w:r w:rsidR="00B95152">
        <w:rPr>
          <w:color w:val="192937"/>
          <w:sz w:val="20"/>
          <w:szCs w:val="20"/>
          <w:u w:color="192937"/>
        </w:rPr>
        <w:t xml:space="preserve"> should be rigorous and should be consistent with NEPA.  The public should be allowed to review environmental analysis, comment on it, and object to decisions using the objection process for each subsequent implementation project.</w:t>
      </w:r>
      <w:r w:rsidR="008B1786">
        <w:rPr>
          <w:color w:val="192937"/>
          <w:sz w:val="20"/>
          <w:szCs w:val="20"/>
          <w:u w:color="192937"/>
        </w:rPr>
        <w:t xml:space="preserve">  </w:t>
      </w:r>
    </w:p>
    <w:p w14:paraId="08BF5E83" w14:textId="77777777" w:rsidR="00B95152" w:rsidRDefault="00B95152" w:rsidP="00386FFE">
      <w:pPr>
        <w:pStyle w:val="Default"/>
        <w:snapToGrid w:val="0"/>
        <w:rPr>
          <w:color w:val="192937"/>
          <w:sz w:val="20"/>
          <w:szCs w:val="20"/>
          <w:u w:color="192937"/>
        </w:rPr>
      </w:pPr>
    </w:p>
    <w:p w14:paraId="3317B277" w14:textId="32BE9A42" w:rsidR="00386FFE" w:rsidRDefault="008B1786" w:rsidP="000411F6">
      <w:pPr>
        <w:pStyle w:val="Default"/>
        <w:snapToGrid w:val="0"/>
        <w:rPr>
          <w:color w:val="192937"/>
          <w:sz w:val="20"/>
          <w:szCs w:val="20"/>
          <w:u w:color="192937"/>
        </w:rPr>
      </w:pPr>
      <w:r>
        <w:rPr>
          <w:color w:val="192937"/>
          <w:sz w:val="20"/>
          <w:szCs w:val="20"/>
          <w:u w:color="192937"/>
        </w:rPr>
        <w:t>Because of the loss of hemlocks to the hemlock adelgid, the FS should analyze whether the removal of other evergreens in coves, streamside areas, and other areas at this time may adversely impact species that relied upon evergreen forest cover, including trout, other aquatic species, salamanders and other species.</w:t>
      </w:r>
    </w:p>
    <w:p w14:paraId="55309B0F" w14:textId="44B97A6C" w:rsidR="00795BBD" w:rsidRDefault="00795BBD" w:rsidP="000411F6">
      <w:pPr>
        <w:pStyle w:val="Default"/>
        <w:snapToGrid w:val="0"/>
        <w:rPr>
          <w:color w:val="192937"/>
          <w:sz w:val="20"/>
          <w:szCs w:val="20"/>
          <w:u w:color="192937"/>
        </w:rPr>
      </w:pPr>
    </w:p>
    <w:p w14:paraId="1A9A5143" w14:textId="4A50A931" w:rsidR="00795BBD" w:rsidRDefault="00795BBD" w:rsidP="000411F6">
      <w:pPr>
        <w:pStyle w:val="Default"/>
        <w:snapToGrid w:val="0"/>
        <w:rPr>
          <w:color w:val="192937"/>
          <w:sz w:val="20"/>
          <w:szCs w:val="20"/>
          <w:u w:color="192937"/>
        </w:rPr>
      </w:pPr>
      <w:r>
        <w:rPr>
          <w:color w:val="192937"/>
          <w:sz w:val="20"/>
          <w:szCs w:val="20"/>
          <w:u w:color="192937"/>
        </w:rPr>
        <w:t>Cumulative impacts of this project</w:t>
      </w:r>
      <w:r w:rsidR="00456626">
        <w:rPr>
          <w:color w:val="192937"/>
          <w:sz w:val="20"/>
          <w:szCs w:val="20"/>
          <w:u w:color="192937"/>
        </w:rPr>
        <w:t xml:space="preserve"> across the national forests should be analyzed. Cumulative impacts of this project in combination with the Forest Plan amendments (variances or exceptions) proposed as part of the Mountain Valley Pipeline project should be considered.</w:t>
      </w:r>
    </w:p>
    <w:p w14:paraId="13779153" w14:textId="6D0ECC6E" w:rsidR="00456626" w:rsidRDefault="00456626" w:rsidP="000411F6">
      <w:pPr>
        <w:pStyle w:val="Default"/>
        <w:snapToGrid w:val="0"/>
        <w:rPr>
          <w:color w:val="192937"/>
          <w:sz w:val="20"/>
          <w:szCs w:val="20"/>
          <w:u w:color="192937"/>
        </w:rPr>
      </w:pPr>
    </w:p>
    <w:p w14:paraId="6BC58966" w14:textId="38A4D0EA" w:rsidR="00456626" w:rsidRDefault="00456626" w:rsidP="000411F6">
      <w:pPr>
        <w:pStyle w:val="Default"/>
        <w:snapToGrid w:val="0"/>
        <w:rPr>
          <w:color w:val="192937"/>
          <w:sz w:val="20"/>
          <w:szCs w:val="20"/>
          <w:u w:color="192937"/>
        </w:rPr>
      </w:pPr>
      <w:r>
        <w:rPr>
          <w:color w:val="192937"/>
          <w:sz w:val="20"/>
          <w:szCs w:val="20"/>
          <w:u w:color="192937"/>
        </w:rPr>
        <w:t>Thank you for the opportunity to comment.</w:t>
      </w:r>
    </w:p>
    <w:p w14:paraId="25EF706F" w14:textId="6DB91A7A" w:rsidR="00456626" w:rsidRDefault="00456626" w:rsidP="000411F6">
      <w:pPr>
        <w:pStyle w:val="Default"/>
        <w:snapToGrid w:val="0"/>
        <w:rPr>
          <w:color w:val="192937"/>
          <w:sz w:val="20"/>
          <w:szCs w:val="20"/>
          <w:u w:color="192937"/>
        </w:rPr>
      </w:pPr>
    </w:p>
    <w:p w14:paraId="7139B773" w14:textId="3741E379" w:rsidR="00456626" w:rsidRDefault="00456626" w:rsidP="000411F6">
      <w:pPr>
        <w:pStyle w:val="Default"/>
        <w:snapToGrid w:val="0"/>
        <w:rPr>
          <w:color w:val="192937"/>
          <w:sz w:val="20"/>
          <w:szCs w:val="20"/>
          <w:u w:color="192937"/>
        </w:rPr>
      </w:pPr>
      <w:r>
        <w:rPr>
          <w:color w:val="192937"/>
          <w:sz w:val="20"/>
          <w:szCs w:val="20"/>
          <w:u w:color="192937"/>
        </w:rPr>
        <w:tab/>
      </w:r>
      <w:r>
        <w:rPr>
          <w:color w:val="192937"/>
          <w:sz w:val="20"/>
          <w:szCs w:val="20"/>
          <w:u w:color="192937"/>
        </w:rPr>
        <w:tab/>
      </w:r>
      <w:r>
        <w:rPr>
          <w:color w:val="192937"/>
          <w:sz w:val="20"/>
          <w:szCs w:val="20"/>
          <w:u w:color="192937"/>
        </w:rPr>
        <w:tab/>
      </w:r>
      <w:r>
        <w:rPr>
          <w:color w:val="192937"/>
          <w:sz w:val="20"/>
          <w:szCs w:val="20"/>
          <w:u w:color="192937"/>
        </w:rPr>
        <w:tab/>
        <w:t>Sincerely yours,</w:t>
      </w:r>
    </w:p>
    <w:p w14:paraId="75C0738B" w14:textId="731D8C7C" w:rsidR="00456626" w:rsidRDefault="00456626" w:rsidP="000411F6">
      <w:pPr>
        <w:pStyle w:val="Default"/>
        <w:snapToGrid w:val="0"/>
        <w:rPr>
          <w:color w:val="192937"/>
          <w:sz w:val="20"/>
          <w:szCs w:val="20"/>
          <w:u w:color="192937"/>
        </w:rPr>
      </w:pPr>
    </w:p>
    <w:p w14:paraId="4FA36DF4" w14:textId="68546F9F" w:rsidR="00456626" w:rsidRDefault="00456626" w:rsidP="000411F6">
      <w:pPr>
        <w:pStyle w:val="Default"/>
        <w:snapToGrid w:val="0"/>
        <w:rPr>
          <w:color w:val="192937"/>
          <w:sz w:val="20"/>
          <w:szCs w:val="20"/>
          <w:u w:color="192937"/>
        </w:rPr>
      </w:pPr>
      <w:r>
        <w:rPr>
          <w:color w:val="192937"/>
          <w:sz w:val="20"/>
          <w:szCs w:val="20"/>
          <w:u w:color="192937"/>
        </w:rPr>
        <w:tab/>
      </w:r>
      <w:r>
        <w:rPr>
          <w:color w:val="192937"/>
          <w:sz w:val="20"/>
          <w:szCs w:val="20"/>
          <w:u w:color="192937"/>
        </w:rPr>
        <w:tab/>
      </w:r>
      <w:r>
        <w:rPr>
          <w:color w:val="192937"/>
          <w:sz w:val="20"/>
          <w:szCs w:val="20"/>
          <w:u w:color="192937"/>
        </w:rPr>
        <w:tab/>
      </w:r>
      <w:r>
        <w:rPr>
          <w:color w:val="192937"/>
          <w:sz w:val="20"/>
          <w:szCs w:val="20"/>
          <w:u w:color="192937"/>
        </w:rPr>
        <w:tab/>
        <w:t>Sherman Bamford</w:t>
      </w:r>
    </w:p>
    <w:p w14:paraId="0A4B0939" w14:textId="7BB6A430" w:rsidR="00456626" w:rsidRDefault="00456626" w:rsidP="000411F6">
      <w:pPr>
        <w:pStyle w:val="Default"/>
        <w:snapToGrid w:val="0"/>
        <w:rPr>
          <w:color w:val="192937"/>
          <w:sz w:val="20"/>
          <w:szCs w:val="20"/>
          <w:u w:color="192937"/>
        </w:rPr>
      </w:pPr>
      <w:r>
        <w:rPr>
          <w:color w:val="192937"/>
          <w:sz w:val="20"/>
          <w:szCs w:val="20"/>
          <w:u w:color="192937"/>
        </w:rPr>
        <w:tab/>
      </w:r>
      <w:r>
        <w:rPr>
          <w:color w:val="192937"/>
          <w:sz w:val="20"/>
          <w:szCs w:val="20"/>
          <w:u w:color="192937"/>
        </w:rPr>
        <w:tab/>
      </w:r>
      <w:r>
        <w:rPr>
          <w:color w:val="192937"/>
          <w:sz w:val="20"/>
          <w:szCs w:val="20"/>
          <w:u w:color="192937"/>
        </w:rPr>
        <w:tab/>
      </w:r>
      <w:r>
        <w:rPr>
          <w:color w:val="192937"/>
          <w:sz w:val="20"/>
          <w:szCs w:val="20"/>
          <w:u w:color="192937"/>
        </w:rPr>
        <w:tab/>
        <w:t>Forest Issues Chair</w:t>
      </w:r>
    </w:p>
    <w:p w14:paraId="28C5B4DC" w14:textId="746D8081" w:rsidR="00456626" w:rsidRDefault="00456626" w:rsidP="000411F6">
      <w:pPr>
        <w:pStyle w:val="Default"/>
        <w:snapToGrid w:val="0"/>
        <w:rPr>
          <w:color w:val="192937"/>
          <w:sz w:val="20"/>
          <w:szCs w:val="20"/>
          <w:u w:color="192937"/>
        </w:rPr>
      </w:pPr>
      <w:r>
        <w:rPr>
          <w:color w:val="192937"/>
          <w:sz w:val="20"/>
          <w:szCs w:val="20"/>
          <w:u w:color="192937"/>
        </w:rPr>
        <w:tab/>
      </w:r>
      <w:r>
        <w:rPr>
          <w:color w:val="192937"/>
          <w:sz w:val="20"/>
          <w:szCs w:val="20"/>
          <w:u w:color="192937"/>
        </w:rPr>
        <w:tab/>
      </w:r>
      <w:r>
        <w:rPr>
          <w:color w:val="192937"/>
          <w:sz w:val="20"/>
          <w:szCs w:val="20"/>
          <w:u w:color="192937"/>
        </w:rPr>
        <w:tab/>
      </w:r>
      <w:r>
        <w:rPr>
          <w:color w:val="192937"/>
          <w:sz w:val="20"/>
          <w:szCs w:val="20"/>
          <w:u w:color="192937"/>
        </w:rPr>
        <w:tab/>
        <w:t xml:space="preserve">Sierra Club </w:t>
      </w:r>
      <w:r>
        <w:rPr>
          <w:color w:val="192937"/>
          <w:sz w:val="20"/>
          <w:szCs w:val="20"/>
          <w:u w:color="192937"/>
        </w:rPr>
        <w:t>–</w:t>
      </w:r>
      <w:r>
        <w:rPr>
          <w:color w:val="192937"/>
          <w:sz w:val="20"/>
          <w:szCs w:val="20"/>
          <w:u w:color="192937"/>
        </w:rPr>
        <w:t xml:space="preserve"> Virginia Chapter</w:t>
      </w:r>
    </w:p>
    <w:p w14:paraId="17C0906B" w14:textId="77777777" w:rsidR="00456626" w:rsidRDefault="00456626" w:rsidP="000411F6">
      <w:pPr>
        <w:pStyle w:val="Default"/>
        <w:snapToGrid w:val="0"/>
        <w:rPr>
          <w:color w:val="192937"/>
          <w:sz w:val="20"/>
          <w:szCs w:val="20"/>
          <w:u w:color="192937"/>
        </w:rPr>
      </w:pPr>
    </w:p>
    <w:p w14:paraId="7A41C6EE" w14:textId="53BA0105" w:rsidR="008853A6" w:rsidRDefault="008853A6" w:rsidP="00E62536">
      <w:pPr>
        <w:pStyle w:val="Default"/>
        <w:snapToGrid w:val="0"/>
        <w:rPr>
          <w:color w:val="192937"/>
          <w:sz w:val="20"/>
          <w:szCs w:val="20"/>
          <w:u w:color="192937"/>
        </w:rPr>
      </w:pPr>
    </w:p>
    <w:p w14:paraId="2F7D77E4" w14:textId="31AC3FCD" w:rsidR="00CA71BC" w:rsidRDefault="00CA71BC"/>
    <w:sectPr w:rsidR="00CA7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36"/>
    <w:rsid w:val="000411F6"/>
    <w:rsid w:val="000F1C71"/>
    <w:rsid w:val="00107491"/>
    <w:rsid w:val="0012405E"/>
    <w:rsid w:val="00152FDF"/>
    <w:rsid w:val="00170E7A"/>
    <w:rsid w:val="001E5A58"/>
    <w:rsid w:val="001F7572"/>
    <w:rsid w:val="002D3609"/>
    <w:rsid w:val="00386BAC"/>
    <w:rsid w:val="00386FFE"/>
    <w:rsid w:val="003B5795"/>
    <w:rsid w:val="003F3611"/>
    <w:rsid w:val="00416FE1"/>
    <w:rsid w:val="00456626"/>
    <w:rsid w:val="0047074C"/>
    <w:rsid w:val="00556BFD"/>
    <w:rsid w:val="00625AC0"/>
    <w:rsid w:val="00750110"/>
    <w:rsid w:val="00795BBD"/>
    <w:rsid w:val="007B7F6E"/>
    <w:rsid w:val="008068E5"/>
    <w:rsid w:val="00853907"/>
    <w:rsid w:val="008853A6"/>
    <w:rsid w:val="008B1786"/>
    <w:rsid w:val="00930777"/>
    <w:rsid w:val="009813A1"/>
    <w:rsid w:val="00A766F7"/>
    <w:rsid w:val="00A83EEF"/>
    <w:rsid w:val="00B90614"/>
    <w:rsid w:val="00B95152"/>
    <w:rsid w:val="00BE4428"/>
    <w:rsid w:val="00C47B74"/>
    <w:rsid w:val="00CA0522"/>
    <w:rsid w:val="00CA71BC"/>
    <w:rsid w:val="00CC2535"/>
    <w:rsid w:val="00D34CC3"/>
    <w:rsid w:val="00D828DE"/>
    <w:rsid w:val="00DC3CC7"/>
    <w:rsid w:val="00DF7CD2"/>
    <w:rsid w:val="00E62536"/>
    <w:rsid w:val="00EF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B4D7F"/>
  <w15:chartTrackingRefBased/>
  <w15:docId w15:val="{DD68BA23-7396-8F41-9BE2-4B70B0E5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53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NormalWeb">
    <w:name w:val="Normal (Web)"/>
    <w:basedOn w:val="Normal"/>
    <w:uiPriority w:val="99"/>
    <w:unhideWhenUsed/>
    <w:rsid w:val="00E625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Bamford</dc:creator>
  <cp:keywords/>
  <dc:description/>
  <cp:lastModifiedBy>Sherman Bamford</cp:lastModifiedBy>
  <cp:revision>34</cp:revision>
  <dcterms:created xsi:type="dcterms:W3CDTF">2020-11-12T01:19:00Z</dcterms:created>
  <dcterms:modified xsi:type="dcterms:W3CDTF">2020-11-12T23:22:00Z</dcterms:modified>
</cp:coreProperties>
</file>