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AD8B" w14:textId="77777777" w:rsidR="009A7DA1" w:rsidRPr="009047CD" w:rsidRDefault="007904C6" w:rsidP="007904C6">
      <w:pPr>
        <w:spacing w:line="276" w:lineRule="auto"/>
        <w:rPr>
          <w:rFonts w:ascii="Garamond" w:hAnsi="Garamond" w:cs="Times New Roman"/>
        </w:rPr>
      </w:pPr>
      <w:r w:rsidRPr="009047CD">
        <w:rPr>
          <w:rFonts w:ascii="Garamond" w:hAnsi="Garamond" w:cs="Times New Roman"/>
        </w:rPr>
        <w:t>Elizabeth (Beth) Kochevar</w:t>
      </w:r>
    </w:p>
    <w:p w14:paraId="7E9B5C06" w14:textId="77777777" w:rsidR="009A7DA1" w:rsidRPr="009047CD" w:rsidRDefault="007904C6" w:rsidP="007904C6">
      <w:pPr>
        <w:spacing w:line="276" w:lineRule="auto"/>
        <w:rPr>
          <w:rFonts w:ascii="Garamond" w:hAnsi="Garamond" w:cs="Times New Roman"/>
        </w:rPr>
      </w:pPr>
      <w:r w:rsidRPr="009047CD">
        <w:rPr>
          <w:rFonts w:ascii="Garamond" w:hAnsi="Garamond" w:cs="Times New Roman"/>
        </w:rPr>
        <w:t>914 Strawberry Lane</w:t>
      </w:r>
    </w:p>
    <w:p w14:paraId="29264AAB" w14:textId="77777777" w:rsidR="009A7DA1" w:rsidRPr="009047CD" w:rsidRDefault="007904C6" w:rsidP="007904C6">
      <w:pPr>
        <w:spacing w:line="276" w:lineRule="auto"/>
        <w:rPr>
          <w:rFonts w:ascii="Garamond" w:hAnsi="Garamond" w:cs="Times New Roman"/>
        </w:rPr>
      </w:pPr>
      <w:r w:rsidRPr="009047CD">
        <w:rPr>
          <w:rFonts w:ascii="Garamond" w:hAnsi="Garamond" w:cs="Times New Roman"/>
        </w:rPr>
        <w:t>McCall, ID 83638</w:t>
      </w:r>
    </w:p>
    <w:p w14:paraId="3D0B3898" w14:textId="77777777" w:rsidR="009A7DA1" w:rsidRPr="009047CD" w:rsidRDefault="00A65A42" w:rsidP="007904C6">
      <w:pPr>
        <w:spacing w:line="276" w:lineRule="auto"/>
        <w:rPr>
          <w:rFonts w:ascii="Garamond" w:hAnsi="Garamond" w:cs="Times New Roman"/>
        </w:rPr>
      </w:pPr>
      <w:hyperlink r:id="rId6">
        <w:r w:rsidR="007904C6" w:rsidRPr="009047CD">
          <w:rPr>
            <w:rStyle w:val="InternetLink"/>
            <w:rFonts w:ascii="Garamond" w:hAnsi="Garamond" w:cs="Times New Roman"/>
          </w:rPr>
          <w:t>bethkochevar@gmail.com</w:t>
        </w:r>
      </w:hyperlink>
    </w:p>
    <w:p w14:paraId="7286FB14" w14:textId="77777777" w:rsidR="009A7DA1" w:rsidRPr="009047CD" w:rsidRDefault="009A7DA1" w:rsidP="007904C6">
      <w:pPr>
        <w:spacing w:line="276" w:lineRule="auto"/>
        <w:rPr>
          <w:rFonts w:ascii="Garamond" w:hAnsi="Garamond" w:cs="Times New Roman"/>
        </w:rPr>
      </w:pPr>
    </w:p>
    <w:p w14:paraId="3F5B22A1" w14:textId="42DEA3EE" w:rsidR="009A7DA1" w:rsidRPr="009047CD" w:rsidRDefault="007904C6" w:rsidP="007904C6">
      <w:pPr>
        <w:spacing w:line="276" w:lineRule="auto"/>
        <w:rPr>
          <w:rFonts w:ascii="Garamond" w:hAnsi="Garamond" w:cs="Times New Roman"/>
        </w:rPr>
      </w:pPr>
      <w:r w:rsidRPr="009047CD">
        <w:rPr>
          <w:rFonts w:ascii="Garamond" w:hAnsi="Garamond" w:cs="Times New Roman"/>
        </w:rPr>
        <w:t xml:space="preserve">Dear </w:t>
      </w:r>
      <w:r w:rsidR="009047CD" w:rsidRPr="009047CD">
        <w:rPr>
          <w:rFonts w:ascii="Garamond" w:hAnsi="Garamond" w:cs="Times New Roman"/>
        </w:rPr>
        <w:t>Forest Supervisor</w:t>
      </w:r>
      <w:r w:rsidRPr="009047CD">
        <w:rPr>
          <w:rFonts w:ascii="Garamond" w:hAnsi="Garamond" w:cs="Times New Roman"/>
        </w:rPr>
        <w:t xml:space="preserve"> Jackson,</w:t>
      </w:r>
    </w:p>
    <w:p w14:paraId="264C57C7" w14:textId="6EA856DE" w:rsidR="009A7DA1" w:rsidRPr="009047CD" w:rsidRDefault="007904C6" w:rsidP="009047CD">
      <w:pPr>
        <w:spacing w:line="276" w:lineRule="auto"/>
        <w:ind w:firstLine="720"/>
        <w:rPr>
          <w:rFonts w:ascii="Garamond" w:hAnsi="Garamond" w:cs="Times New Roman"/>
        </w:rPr>
      </w:pPr>
      <w:r w:rsidRPr="009047CD">
        <w:rPr>
          <w:rFonts w:ascii="Garamond" w:hAnsi="Garamond" w:cs="Times New Roman"/>
        </w:rPr>
        <w:t>This letter is in regard to the Draft EIS for the proposed Stibnite Mine Project.</w:t>
      </w:r>
    </w:p>
    <w:p w14:paraId="59D0263D" w14:textId="4B19675A" w:rsidR="009A7DA1" w:rsidRPr="009047CD" w:rsidRDefault="007904C6" w:rsidP="007904C6">
      <w:pPr>
        <w:spacing w:line="276" w:lineRule="auto"/>
        <w:ind w:firstLine="720"/>
        <w:rPr>
          <w:rFonts w:ascii="Garamond" w:hAnsi="Garamond" w:cs="Times New Roman"/>
        </w:rPr>
      </w:pPr>
      <w:r w:rsidRPr="009047CD">
        <w:rPr>
          <w:rFonts w:ascii="Garamond" w:hAnsi="Garamond" w:cs="Times New Roman"/>
        </w:rPr>
        <w:t>My name is Beth Kochevar and I am an environmental science educator in McCall, Idaho. I have a B.A. in Geology and an M.S. in Natural Resources. I chose to make the Idaho my home eight years ago because of the immediate connection I felt to the people and the landscape. Idaho hosts millions of acres of wilderness, public land, and wild and scenic rivers; Idahoans have a special, intimate relationship with the Land that is unique and essential for our collective wellbeing. There are many aspects of the proposed Stibnite Gold Project (SGP) and that threaten these shared values and are deeply concerning for the sustainability of our future generations. It is equally concerning that the Draft EIS for the SGP is insufficient in providing enough information about the potential threats to a resilient socio-ecological system in the area of the proposed mine.</w:t>
      </w:r>
    </w:p>
    <w:p w14:paraId="2157CDCD" w14:textId="6E2B6E29" w:rsidR="009A7DA1" w:rsidRPr="009047CD" w:rsidRDefault="007904C6" w:rsidP="007904C6">
      <w:pPr>
        <w:spacing w:line="276" w:lineRule="auto"/>
        <w:ind w:firstLine="720"/>
        <w:rPr>
          <w:rFonts w:ascii="Garamond" w:hAnsi="Garamond" w:cs="Times New Roman"/>
        </w:rPr>
      </w:pPr>
      <w:r w:rsidRPr="009047CD">
        <w:rPr>
          <w:rFonts w:ascii="Garamond" w:hAnsi="Garamond" w:cs="Times New Roman"/>
        </w:rPr>
        <w:t xml:space="preserve">While the potential impacts of the SGP are separated out into different categories such as fish, vegetation, geology, recreation and </w:t>
      </w:r>
      <w:r w:rsidR="00AE4F6F" w:rsidRPr="009047CD">
        <w:rPr>
          <w:rFonts w:ascii="Garamond" w:hAnsi="Garamond" w:cs="Times New Roman"/>
        </w:rPr>
        <w:t>T</w:t>
      </w:r>
      <w:r w:rsidRPr="009047CD">
        <w:rPr>
          <w:rFonts w:ascii="Garamond" w:hAnsi="Garamond" w:cs="Times New Roman"/>
        </w:rPr>
        <w:t xml:space="preserve">reaty </w:t>
      </w:r>
      <w:r w:rsidR="00AE4F6F" w:rsidRPr="009047CD">
        <w:rPr>
          <w:rFonts w:ascii="Garamond" w:hAnsi="Garamond" w:cs="Times New Roman"/>
        </w:rPr>
        <w:t>R</w:t>
      </w:r>
      <w:r w:rsidRPr="009047CD">
        <w:rPr>
          <w:rFonts w:ascii="Garamond" w:hAnsi="Garamond" w:cs="Times New Roman"/>
        </w:rPr>
        <w:t>ights, the DEIS does not sufficiently discuss the inextricable connections between some of each of the impact area. An impact to one of these areas will inevitably cause cascading impacts to the others. For example, the DEIS lists potential impacts to federally listed fish species, including destruction of up to</w:t>
      </w:r>
      <w:r w:rsidRPr="009047CD">
        <w:rPr>
          <w:rFonts w:ascii="Garamond" w:hAnsi="Garamond" w:cs="Times New Roman"/>
          <w:color w:val="C9211E"/>
        </w:rPr>
        <w:t xml:space="preserve"> </w:t>
      </w:r>
      <w:r w:rsidRPr="009047CD">
        <w:rPr>
          <w:rFonts w:ascii="Garamond" w:hAnsi="Garamond" w:cs="Times New Roman"/>
          <w:color w:val="000000" w:themeColor="text1"/>
        </w:rPr>
        <w:t>70</w:t>
      </w:r>
      <w:r w:rsidRPr="009047CD">
        <w:rPr>
          <w:rFonts w:ascii="Garamond" w:hAnsi="Garamond" w:cs="Times New Roman"/>
        </w:rPr>
        <w:t xml:space="preserve">% of critical habitat </w:t>
      </w:r>
      <w:r w:rsidRPr="009047CD">
        <w:rPr>
          <w:rFonts w:ascii="Garamond" w:hAnsi="Garamond" w:cs="Times New Roman"/>
          <w:color w:val="000000" w:themeColor="text1"/>
        </w:rPr>
        <w:t>(DEIS p. 4.12-201)</w:t>
      </w:r>
      <w:r w:rsidRPr="009047CD">
        <w:rPr>
          <w:rFonts w:ascii="Garamond" w:hAnsi="Garamond" w:cs="Times New Roman"/>
        </w:rPr>
        <w:t xml:space="preserve">, too warm and not enough water for fish to thrive </w:t>
      </w:r>
      <w:r w:rsidRPr="009047CD">
        <w:rPr>
          <w:rFonts w:ascii="Garamond" w:hAnsi="Garamond" w:cs="Times New Roman"/>
          <w:color w:val="000000" w:themeColor="text1"/>
        </w:rPr>
        <w:t xml:space="preserve">(DEIS p. 12-69), </w:t>
      </w:r>
      <w:r w:rsidRPr="009047CD">
        <w:rPr>
          <w:rFonts w:ascii="Garamond" w:hAnsi="Garamond" w:cs="Times New Roman"/>
        </w:rPr>
        <w:t>and permanent barriers to fish passage in Meadow Creek from new construction. However, the water quality issues listed (such as increased arsenic in the stream system) will also have negative impacts to the fish populations. Additionally, these listed fish are keystone species in the forest ecosystem, bringing marine derived nutrients from the ocean to the headwater streams. If these fish populations are depleted due to the potential impacts from the SGP, the greater forest ecosystem will also be impacted. These impacts are not listed in the DEIS.</w:t>
      </w:r>
    </w:p>
    <w:p w14:paraId="5FF9A640" w14:textId="6B791853" w:rsidR="009A7DA1" w:rsidRPr="009047CD" w:rsidRDefault="007904C6" w:rsidP="007904C6">
      <w:pPr>
        <w:spacing w:line="276" w:lineRule="auto"/>
        <w:ind w:firstLine="720"/>
        <w:rPr>
          <w:rFonts w:ascii="Garamond" w:hAnsi="Garamond" w:cs="Times New Roman"/>
        </w:rPr>
      </w:pPr>
      <w:r w:rsidRPr="009047CD">
        <w:rPr>
          <w:rFonts w:ascii="Garamond" w:hAnsi="Garamond" w:cs="Times New Roman"/>
        </w:rPr>
        <w:t>Another example of information that is missing from the DEI</w:t>
      </w:r>
      <w:r w:rsidRPr="009047CD">
        <w:rPr>
          <w:rFonts w:ascii="Garamond" w:hAnsi="Garamond" w:cs="Times New Roman"/>
          <w:color w:val="000000" w:themeColor="text1"/>
        </w:rPr>
        <w:t>S</w:t>
      </w:r>
      <w:r w:rsidRPr="009047CD">
        <w:rPr>
          <w:rFonts w:ascii="Garamond" w:hAnsi="Garamond" w:cs="Times New Roman"/>
        </w:rPr>
        <w:t xml:space="preserve"> is the impact</w:t>
      </w:r>
      <w:r w:rsidR="00AE4F6F" w:rsidRPr="009047CD">
        <w:rPr>
          <w:rFonts w:ascii="Garamond" w:hAnsi="Garamond" w:cs="Times New Roman"/>
        </w:rPr>
        <w:t xml:space="preserve"> </w:t>
      </w:r>
      <w:r w:rsidRPr="009047CD">
        <w:rPr>
          <w:rFonts w:ascii="Garamond" w:hAnsi="Garamond" w:cs="Times New Roman"/>
        </w:rPr>
        <w:t xml:space="preserve">to the larger social and ecological system from the destruction of white bark pine in each of the Alternatives listed. Since white bark pine is a keystone species in forest ecosystems, certainly there are wider implications for the ecosystem if these trees are destroyed. This is not depicted in the DEIS. </w:t>
      </w:r>
      <w:proofErr w:type="spellStart"/>
      <w:r w:rsidRPr="009047CD">
        <w:rPr>
          <w:rFonts w:ascii="Garamond" w:hAnsi="Garamond" w:cs="Times New Roman"/>
          <w:color w:val="000000" w:themeColor="text1"/>
        </w:rPr>
        <w:t>Whitebark</w:t>
      </w:r>
      <w:proofErr w:type="spellEnd"/>
      <w:r w:rsidRPr="009047CD">
        <w:rPr>
          <w:rFonts w:ascii="Garamond" w:hAnsi="Garamond" w:cs="Times New Roman"/>
          <w:color w:val="000000" w:themeColor="text1"/>
        </w:rPr>
        <w:t xml:space="preserve"> pine is considered an important or keystone species in the ecosystems where it is found due to its function as habitat and food for wildlife, its ability to colonize areas after fire and other disturbances, its ability to survive on harsh, high-elevation droughty sites, and its function in regulating snowmelt and reducing soil erosion (Keane et al. 2017). </w:t>
      </w:r>
      <w:proofErr w:type="spellStart"/>
      <w:r w:rsidRPr="009047CD">
        <w:rPr>
          <w:rFonts w:ascii="Garamond" w:hAnsi="Garamond" w:cs="Times New Roman"/>
          <w:color w:val="000000" w:themeColor="text1"/>
        </w:rPr>
        <w:t>Whitebark</w:t>
      </w:r>
      <w:proofErr w:type="spellEnd"/>
      <w:r w:rsidRPr="009047CD">
        <w:rPr>
          <w:rFonts w:ascii="Garamond" w:hAnsi="Garamond" w:cs="Times New Roman"/>
          <w:color w:val="000000" w:themeColor="text1"/>
        </w:rPr>
        <w:t xml:space="preserve"> pine is a long-lived tree, commonly living over 400 years. </w:t>
      </w:r>
      <w:proofErr w:type="spellStart"/>
      <w:r w:rsidRPr="009047CD">
        <w:rPr>
          <w:rFonts w:ascii="Garamond" w:hAnsi="Garamond" w:cs="Times New Roman"/>
          <w:color w:val="000000" w:themeColor="text1"/>
        </w:rPr>
        <w:t>Whitebark</w:t>
      </w:r>
      <w:proofErr w:type="spellEnd"/>
      <w:r w:rsidRPr="009047CD">
        <w:rPr>
          <w:rFonts w:ascii="Garamond" w:hAnsi="Garamond" w:cs="Times New Roman"/>
          <w:color w:val="000000" w:themeColor="text1"/>
        </w:rPr>
        <w:t xml:space="preserve"> pine populations are declining in North America . </w:t>
      </w:r>
      <w:proofErr w:type="spellStart"/>
      <w:r w:rsidRPr="009047CD">
        <w:rPr>
          <w:rFonts w:ascii="Garamond" w:hAnsi="Garamond" w:cs="Times New Roman"/>
          <w:color w:val="000000" w:themeColor="text1"/>
        </w:rPr>
        <w:t>Whitebark</w:t>
      </w:r>
      <w:proofErr w:type="spellEnd"/>
      <w:r w:rsidRPr="009047CD">
        <w:rPr>
          <w:rFonts w:ascii="Garamond" w:hAnsi="Garamond" w:cs="Times New Roman"/>
          <w:color w:val="000000" w:themeColor="text1"/>
        </w:rPr>
        <w:t xml:space="preserve"> pine, a candidate species without proposed or designated critical habitat, is found in the analysis area (DEIS p.3.10-23). Construction activities under Alternative 1 would require removal of vegetation, including </w:t>
      </w:r>
      <w:proofErr w:type="spellStart"/>
      <w:r w:rsidRPr="009047CD">
        <w:rPr>
          <w:rFonts w:ascii="Garamond" w:hAnsi="Garamond" w:cs="Times New Roman"/>
          <w:color w:val="000000" w:themeColor="text1"/>
        </w:rPr>
        <w:t>whitebark</w:t>
      </w:r>
      <w:proofErr w:type="spellEnd"/>
      <w:r w:rsidRPr="009047CD">
        <w:rPr>
          <w:rFonts w:ascii="Garamond" w:hAnsi="Garamond" w:cs="Times New Roman"/>
          <w:color w:val="000000" w:themeColor="text1"/>
        </w:rPr>
        <w:t xml:space="preserve"> pine individuals </w:t>
      </w:r>
      <w:r w:rsidR="00AE4F6F" w:rsidRPr="009047CD">
        <w:rPr>
          <w:rFonts w:ascii="Garamond" w:hAnsi="Garamond" w:cs="Times New Roman"/>
          <w:color w:val="000000" w:themeColor="text1"/>
        </w:rPr>
        <w:t>(</w:t>
      </w:r>
      <w:r w:rsidRPr="009047CD">
        <w:rPr>
          <w:rFonts w:ascii="Garamond" w:hAnsi="Garamond" w:cs="Times New Roman"/>
          <w:color w:val="000000" w:themeColor="text1"/>
        </w:rPr>
        <w:t>DEIS p. 4.4-12</w:t>
      </w:r>
      <w:r w:rsidR="00AE4F6F" w:rsidRPr="009047CD">
        <w:rPr>
          <w:rFonts w:ascii="Garamond" w:hAnsi="Garamond" w:cs="Times New Roman"/>
          <w:color w:val="000000" w:themeColor="text1"/>
        </w:rPr>
        <w:t>).</w:t>
      </w:r>
      <w:r w:rsidRPr="009047CD">
        <w:rPr>
          <w:rFonts w:ascii="Garamond" w:hAnsi="Garamond" w:cs="Times New Roman"/>
          <w:color w:val="000000" w:themeColor="text1"/>
        </w:rPr>
        <w:t xml:space="preserve"> Native trees and shrubs also would be planted, as well as disease-resistant </w:t>
      </w:r>
      <w:proofErr w:type="spellStart"/>
      <w:r w:rsidRPr="009047CD">
        <w:rPr>
          <w:rFonts w:ascii="Garamond" w:hAnsi="Garamond" w:cs="Times New Roman"/>
          <w:color w:val="000000" w:themeColor="text1"/>
        </w:rPr>
        <w:t>whitebark</w:t>
      </w:r>
      <w:proofErr w:type="spellEnd"/>
      <w:r w:rsidRPr="009047CD">
        <w:rPr>
          <w:rFonts w:ascii="Garamond" w:hAnsi="Garamond" w:cs="Times New Roman"/>
          <w:color w:val="000000" w:themeColor="text1"/>
        </w:rPr>
        <w:t xml:space="preserve"> pine seedlings. Revegetation efforts would likely represent an improvement over areas of existing poor-quality soils; however, revegetation of the disturbed mine site and legacy impacted areas would likely be difficult due to current trends for climate change</w:t>
      </w:r>
      <w:r w:rsidR="00AE4F6F" w:rsidRPr="009047CD">
        <w:rPr>
          <w:rFonts w:ascii="Garamond" w:hAnsi="Garamond" w:cs="Times New Roman"/>
          <w:color w:val="000000" w:themeColor="text1"/>
        </w:rPr>
        <w:t xml:space="preserve"> and encroaching of subalpine fir into the </w:t>
      </w:r>
      <w:proofErr w:type="spellStart"/>
      <w:r w:rsidR="00AE4F6F" w:rsidRPr="009047CD">
        <w:rPr>
          <w:rFonts w:ascii="Garamond" w:hAnsi="Garamond" w:cs="Times New Roman"/>
          <w:color w:val="000000" w:themeColor="text1"/>
        </w:rPr>
        <w:t>whitebark</w:t>
      </w:r>
      <w:proofErr w:type="spellEnd"/>
      <w:r w:rsidR="00AE4F6F" w:rsidRPr="009047CD">
        <w:rPr>
          <w:rFonts w:ascii="Garamond" w:hAnsi="Garamond" w:cs="Times New Roman"/>
          <w:color w:val="000000" w:themeColor="text1"/>
        </w:rPr>
        <w:t xml:space="preserve"> pine habitat.</w:t>
      </w:r>
    </w:p>
    <w:p w14:paraId="076BBC78" w14:textId="6A6AE0BD" w:rsidR="009A7DA1" w:rsidRPr="009047CD" w:rsidRDefault="007904C6" w:rsidP="007904C6">
      <w:pPr>
        <w:spacing w:line="276" w:lineRule="auto"/>
        <w:ind w:firstLine="720"/>
        <w:rPr>
          <w:rFonts w:ascii="Garamond" w:hAnsi="Garamond" w:cs="Times New Roman"/>
        </w:rPr>
      </w:pPr>
      <w:r w:rsidRPr="009047CD">
        <w:rPr>
          <w:rFonts w:ascii="Garamond" w:hAnsi="Garamond" w:cs="Times New Roman"/>
        </w:rPr>
        <w:t xml:space="preserve">Finally, there is insufficient elaboration of the reciprocal relationships between humans and the Land in the DEIS, to the point </w:t>
      </w:r>
      <w:r w:rsidR="00AE4F6F" w:rsidRPr="009047CD">
        <w:rPr>
          <w:rFonts w:ascii="Garamond" w:hAnsi="Garamond" w:cs="Times New Roman"/>
        </w:rPr>
        <w:t xml:space="preserve">of allowing the SGP to violate </w:t>
      </w:r>
      <w:r w:rsidRPr="009047CD">
        <w:rPr>
          <w:rFonts w:ascii="Garamond" w:hAnsi="Garamond" w:cs="Times New Roman"/>
        </w:rPr>
        <w:t xml:space="preserve">human rights and </w:t>
      </w:r>
      <w:r w:rsidR="00AE4F6F" w:rsidRPr="009047CD">
        <w:rPr>
          <w:rFonts w:ascii="Garamond" w:hAnsi="Garamond" w:cs="Times New Roman"/>
        </w:rPr>
        <w:t>T</w:t>
      </w:r>
      <w:r w:rsidRPr="009047CD">
        <w:rPr>
          <w:rFonts w:ascii="Garamond" w:hAnsi="Garamond" w:cs="Times New Roman"/>
        </w:rPr>
        <w:t xml:space="preserve">reaty </w:t>
      </w:r>
      <w:r w:rsidR="00AE4F6F" w:rsidRPr="009047CD">
        <w:rPr>
          <w:rFonts w:ascii="Garamond" w:hAnsi="Garamond" w:cs="Times New Roman"/>
        </w:rPr>
        <w:t>R</w:t>
      </w:r>
      <w:r w:rsidRPr="009047CD">
        <w:rPr>
          <w:rFonts w:ascii="Garamond" w:hAnsi="Garamond" w:cs="Times New Roman"/>
        </w:rPr>
        <w:t xml:space="preserve">ights. The topics </w:t>
      </w:r>
      <w:r w:rsidRPr="009047CD">
        <w:rPr>
          <w:rFonts w:ascii="Garamond" w:hAnsi="Garamond" w:cs="Times New Roman"/>
        </w:rPr>
        <w:lastRenderedPageBreak/>
        <w:t xml:space="preserve">addressed in the DEIS and outlined in the </w:t>
      </w:r>
      <w:r w:rsidRPr="009047CD">
        <w:rPr>
          <w:rFonts w:ascii="Garamond" w:hAnsi="Garamond" w:cs="Times New Roman"/>
          <w:color w:val="000000" w:themeColor="text1"/>
        </w:rPr>
        <w:t>Purpose and</w:t>
      </w:r>
      <w:r w:rsidRPr="009047CD">
        <w:rPr>
          <w:rFonts w:ascii="Garamond" w:hAnsi="Garamond" w:cs="Times New Roman"/>
          <w:color w:val="C9211E"/>
        </w:rPr>
        <w:t xml:space="preserve"> </w:t>
      </w:r>
      <w:r w:rsidRPr="009047CD">
        <w:rPr>
          <w:rFonts w:ascii="Garamond" w:hAnsi="Garamond" w:cs="Times New Roman"/>
        </w:rPr>
        <w:t xml:space="preserve">Need section are listed as “resources” but there is not sufficient mention of the ways humans and the Land interact that is more than as using “resources.” For example, native peoples have lived with the Land in the surrounding SGP area since time immemorial. In addition to the physical damage done to the Land and resources, it will be a threat to many people’s identities to destroy any part of the Land in this area because destroying the Land is akin to destroying the mind and spirit. This is a matter of human rights, and this is not sufficiently addressed and mitigated in the DEIS. This relationship between the native peoples and the Land </w:t>
      </w:r>
      <w:r w:rsidR="00C05C1D" w:rsidRPr="009047CD">
        <w:rPr>
          <w:rFonts w:ascii="Garamond" w:hAnsi="Garamond" w:cs="Times New Roman"/>
        </w:rPr>
        <w:t xml:space="preserve">and their rights to carry out their cultural practices </w:t>
      </w:r>
      <w:r w:rsidRPr="009047CD">
        <w:rPr>
          <w:rFonts w:ascii="Garamond" w:hAnsi="Garamond" w:cs="Times New Roman"/>
        </w:rPr>
        <w:t>ha</w:t>
      </w:r>
      <w:r w:rsidR="00C05C1D" w:rsidRPr="009047CD">
        <w:rPr>
          <w:rFonts w:ascii="Garamond" w:hAnsi="Garamond" w:cs="Times New Roman"/>
        </w:rPr>
        <w:t>ve</w:t>
      </w:r>
      <w:r w:rsidRPr="009047CD">
        <w:rPr>
          <w:rFonts w:ascii="Garamond" w:hAnsi="Garamond" w:cs="Times New Roman"/>
        </w:rPr>
        <w:t xml:space="preserve"> been federally recognized since the </w:t>
      </w:r>
      <w:r w:rsidR="00C05C1D" w:rsidRPr="009047CD">
        <w:rPr>
          <w:rFonts w:ascii="Garamond" w:hAnsi="Garamond" w:cs="Times New Roman"/>
        </w:rPr>
        <w:t xml:space="preserve">Nez Perce Tribe Treaty of 1855 </w:t>
      </w:r>
      <w:r w:rsidRPr="009047CD">
        <w:rPr>
          <w:rFonts w:ascii="Garamond" w:hAnsi="Garamond" w:cs="Times New Roman"/>
        </w:rPr>
        <w:t xml:space="preserve">and to degrade the Land in this area will be in direct violation of these rights, which take superiority to the </w:t>
      </w:r>
      <w:r w:rsidRPr="009047CD">
        <w:rPr>
          <w:rFonts w:ascii="Garamond" w:hAnsi="Garamond" w:cs="Times New Roman"/>
          <w:color w:val="000000" w:themeColor="text1"/>
        </w:rPr>
        <w:t>Mining Act of  1872</w:t>
      </w:r>
      <w:r w:rsidR="00275916" w:rsidRPr="009047CD">
        <w:rPr>
          <w:rFonts w:ascii="Garamond" w:hAnsi="Garamond" w:cs="Times New Roman"/>
        </w:rPr>
        <w:t xml:space="preserve">. </w:t>
      </w:r>
      <w:r w:rsidR="00AE4F6F" w:rsidRPr="009047CD">
        <w:rPr>
          <w:rFonts w:ascii="Garamond" w:hAnsi="Garamond" w:cs="Times New Roman"/>
        </w:rPr>
        <w:t>We all have an inherent right to wellbeing, and the degradation of the ecosystem in this area violates the intrinsic connection and reliance of humans and the Land.</w:t>
      </w:r>
    </w:p>
    <w:p w14:paraId="4B2A0B8E" w14:textId="2CBB6718" w:rsidR="009A7DA1" w:rsidRPr="009047CD" w:rsidRDefault="007904C6" w:rsidP="00F01BC4">
      <w:pPr>
        <w:spacing w:line="276" w:lineRule="auto"/>
        <w:ind w:firstLine="720"/>
        <w:rPr>
          <w:rFonts w:ascii="Garamond" w:hAnsi="Garamond" w:cs="Times New Roman"/>
        </w:rPr>
      </w:pPr>
      <w:r w:rsidRPr="009047CD">
        <w:rPr>
          <w:rFonts w:ascii="Garamond" w:hAnsi="Garamond" w:cs="Times New Roman"/>
        </w:rPr>
        <w:t>Comingled impacts to the SGP area need to be filled out completely so the full picture of the socio-ecological system in the EFSFS watershed and the cascading impacts can be weighed</w:t>
      </w:r>
    </w:p>
    <w:p w14:paraId="270A16C3" w14:textId="2C6EC98E" w:rsidR="009A7DA1" w:rsidRPr="009047CD" w:rsidRDefault="007904C6" w:rsidP="007904C6">
      <w:pPr>
        <w:spacing w:line="276" w:lineRule="auto"/>
        <w:ind w:firstLine="720"/>
        <w:rPr>
          <w:rFonts w:ascii="Garamond" w:hAnsi="Garamond" w:cs="Times New Roman"/>
        </w:rPr>
      </w:pPr>
      <w:r w:rsidRPr="009047CD">
        <w:rPr>
          <w:rFonts w:ascii="Garamond" w:hAnsi="Garamond" w:cs="Times New Roman"/>
        </w:rPr>
        <w:t xml:space="preserve">In summary, according to the purported impacts for Alternatives 1, 2, 3, and 4 (which, concerningly, are not fully modeled), even with Midas’s plans for restoration, there will be irreparable loss of native, endemic, and keystone species that will have cascading effects in the socio-ecological system that we all rely on. The permanent damage what would be done to this area is fully inconsistent with the claims of “restoration” made by Midas. It would be shortsighted to allow this amount of environmental degradation to occur when we are also facing unprecedented effects of climate change that will compound the direct human impacts on this landscape. For the livelihoods of the generations of Idahoans that come after us, the focus of work in this area should be on restoration, conservation, and upholding </w:t>
      </w:r>
      <w:r w:rsidR="00AE4F6F" w:rsidRPr="009047CD">
        <w:rPr>
          <w:rFonts w:ascii="Garamond" w:hAnsi="Garamond" w:cs="Times New Roman"/>
        </w:rPr>
        <w:t>T</w:t>
      </w:r>
      <w:r w:rsidRPr="009047CD">
        <w:rPr>
          <w:rFonts w:ascii="Garamond" w:hAnsi="Garamond" w:cs="Times New Roman"/>
        </w:rPr>
        <w:t xml:space="preserve">reaty </w:t>
      </w:r>
      <w:r w:rsidR="00AE4F6F" w:rsidRPr="009047CD">
        <w:rPr>
          <w:rFonts w:ascii="Garamond" w:hAnsi="Garamond" w:cs="Times New Roman"/>
        </w:rPr>
        <w:t>R</w:t>
      </w:r>
      <w:r w:rsidRPr="009047CD">
        <w:rPr>
          <w:rFonts w:ascii="Garamond" w:hAnsi="Garamond" w:cs="Times New Roman"/>
        </w:rPr>
        <w:t>ights guaranteed to the native peoples</w:t>
      </w:r>
      <w:r w:rsidR="00AE4F6F" w:rsidRPr="009047CD">
        <w:rPr>
          <w:rFonts w:ascii="Garamond" w:hAnsi="Garamond" w:cs="Times New Roman"/>
        </w:rPr>
        <w:t>, not short-term extractive industry</w:t>
      </w:r>
      <w:r w:rsidRPr="009047CD">
        <w:rPr>
          <w:rFonts w:ascii="Garamond" w:hAnsi="Garamond" w:cs="Times New Roman"/>
        </w:rPr>
        <w:t>. I want to tell my students that we did all we could to leave them a healthy, just, and equitable world in which they can thrive</w:t>
      </w:r>
      <w:r w:rsidR="00AE4F6F" w:rsidRPr="009047CD">
        <w:rPr>
          <w:rFonts w:ascii="Garamond" w:hAnsi="Garamond" w:cs="Times New Roman"/>
        </w:rPr>
        <w:t>.</w:t>
      </w:r>
    </w:p>
    <w:p w14:paraId="4917F7F4" w14:textId="77777777" w:rsidR="009A7DA1" w:rsidRPr="009047CD" w:rsidRDefault="009A7DA1" w:rsidP="007904C6">
      <w:pPr>
        <w:spacing w:line="276" w:lineRule="auto"/>
        <w:rPr>
          <w:rFonts w:ascii="Garamond" w:hAnsi="Garamond" w:cs="Times New Roman"/>
        </w:rPr>
      </w:pPr>
    </w:p>
    <w:p w14:paraId="37901F90" w14:textId="77777777" w:rsidR="009A7DA1" w:rsidRPr="009047CD" w:rsidRDefault="007904C6" w:rsidP="007904C6">
      <w:pPr>
        <w:spacing w:line="276" w:lineRule="auto"/>
        <w:rPr>
          <w:rFonts w:ascii="Garamond" w:hAnsi="Garamond" w:cs="Times New Roman"/>
        </w:rPr>
      </w:pPr>
      <w:r w:rsidRPr="009047CD">
        <w:rPr>
          <w:rFonts w:ascii="Garamond" w:hAnsi="Garamond" w:cs="Times New Roman"/>
        </w:rPr>
        <w:t>Sincerely,</w:t>
      </w:r>
    </w:p>
    <w:p w14:paraId="2F179B93" w14:textId="77777777" w:rsidR="009A7DA1" w:rsidRPr="009047CD" w:rsidRDefault="007904C6" w:rsidP="007904C6">
      <w:pPr>
        <w:spacing w:line="276" w:lineRule="auto"/>
        <w:rPr>
          <w:rFonts w:ascii="Garamond" w:hAnsi="Garamond" w:cs="Times New Roman"/>
        </w:rPr>
      </w:pPr>
      <w:r w:rsidRPr="009047CD">
        <w:rPr>
          <w:rFonts w:ascii="Garamond" w:hAnsi="Garamond" w:cs="Times New Roman"/>
          <w:noProof/>
        </w:rPr>
        <w:drawing>
          <wp:inline distT="0" distB="0" distL="0" distR="0" wp14:anchorId="2D1A4EFC" wp14:editId="6554EEF7">
            <wp:extent cx="1805940" cy="558800"/>
            <wp:effectExtent l="0" t="0" r="0" b="0"/>
            <wp:docPr id="1" name="Picture 1" descr="A star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r in the background&#10;&#10;Description automatically generated"/>
                    <pic:cNvPicPr>
                      <a:picLocks noChangeAspect="1" noChangeArrowheads="1"/>
                    </pic:cNvPicPr>
                  </pic:nvPicPr>
                  <pic:blipFill>
                    <a:blip r:embed="rId7"/>
                    <a:stretch>
                      <a:fillRect/>
                    </a:stretch>
                  </pic:blipFill>
                  <pic:spPr bwMode="auto">
                    <a:xfrm>
                      <a:off x="0" y="0"/>
                      <a:ext cx="1805940" cy="558800"/>
                    </a:xfrm>
                    <a:prstGeom prst="rect">
                      <a:avLst/>
                    </a:prstGeom>
                  </pic:spPr>
                </pic:pic>
              </a:graphicData>
            </a:graphic>
          </wp:inline>
        </w:drawing>
      </w:r>
    </w:p>
    <w:p w14:paraId="37B81C16" w14:textId="77777777" w:rsidR="009A7DA1" w:rsidRPr="009047CD" w:rsidRDefault="007904C6" w:rsidP="007904C6">
      <w:pPr>
        <w:spacing w:line="276" w:lineRule="auto"/>
        <w:rPr>
          <w:rFonts w:ascii="Garamond" w:hAnsi="Garamond" w:cs="Times New Roman"/>
        </w:rPr>
      </w:pPr>
      <w:r w:rsidRPr="009047CD">
        <w:rPr>
          <w:rFonts w:ascii="Garamond" w:hAnsi="Garamond" w:cs="Times New Roman"/>
        </w:rPr>
        <w:t>Beth Kochevar</w:t>
      </w:r>
    </w:p>
    <w:sectPr w:rsidR="009A7DA1" w:rsidRPr="009047CD" w:rsidSect="009047CD">
      <w:pgSz w:w="12240" w:h="15840"/>
      <w:pgMar w:top="1080" w:right="1080" w:bottom="1080" w:left="108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FB42" w14:textId="77777777" w:rsidR="00A65A42" w:rsidRDefault="00A65A42" w:rsidP="009047CD">
      <w:r>
        <w:separator/>
      </w:r>
    </w:p>
  </w:endnote>
  <w:endnote w:type="continuationSeparator" w:id="0">
    <w:p w14:paraId="6F6B58D0" w14:textId="77777777" w:rsidR="00A65A42" w:rsidRDefault="00A65A42" w:rsidP="0090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35C8" w14:textId="77777777" w:rsidR="00A65A42" w:rsidRDefault="00A65A42" w:rsidP="009047CD">
      <w:r>
        <w:separator/>
      </w:r>
    </w:p>
  </w:footnote>
  <w:footnote w:type="continuationSeparator" w:id="0">
    <w:p w14:paraId="164369D9" w14:textId="77777777" w:rsidR="00A65A42" w:rsidRDefault="00A65A42" w:rsidP="0090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A1"/>
    <w:rsid w:val="00275916"/>
    <w:rsid w:val="007904C6"/>
    <w:rsid w:val="009047CD"/>
    <w:rsid w:val="009A7DA1"/>
    <w:rsid w:val="009D25BB"/>
    <w:rsid w:val="00A65A42"/>
    <w:rsid w:val="00AE4F6F"/>
    <w:rsid w:val="00C05C1D"/>
    <w:rsid w:val="00F01B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8DA550E"/>
  <w15:docId w15:val="{17C453B4-0447-9547-A97D-F7F93F43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C23EC"/>
    <w:rPr>
      <w:color w:val="0563C1" w:themeColor="hyperlink"/>
      <w:u w:val="single"/>
    </w:rPr>
  </w:style>
  <w:style w:type="character" w:styleId="UnresolvedMention">
    <w:name w:val="Unresolved Mention"/>
    <w:basedOn w:val="DefaultParagraphFont"/>
    <w:uiPriority w:val="99"/>
    <w:qFormat/>
    <w:rsid w:val="00CC23E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unhideWhenUsed/>
    <w:rsid w:val="009047CD"/>
    <w:pPr>
      <w:tabs>
        <w:tab w:val="center" w:pos="4680"/>
        <w:tab w:val="right" w:pos="9360"/>
      </w:tabs>
    </w:pPr>
  </w:style>
  <w:style w:type="character" w:customStyle="1" w:styleId="FooterChar">
    <w:name w:val="Footer Char"/>
    <w:basedOn w:val="DefaultParagraphFont"/>
    <w:link w:val="Footer"/>
    <w:uiPriority w:val="99"/>
    <w:rsid w:val="009047CD"/>
  </w:style>
  <w:style w:type="character" w:styleId="PageNumber">
    <w:name w:val="page number"/>
    <w:basedOn w:val="DefaultParagraphFont"/>
    <w:uiPriority w:val="99"/>
    <w:semiHidden/>
    <w:unhideWhenUsed/>
    <w:rsid w:val="0090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kocheva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4 Environmental Consequences</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Environmental Consequences</dc:title>
  <dc:subject>Stibnite Gold Project Draft EIS</dc:subject>
  <dc:creator>USDA Forest Service, Region 4, Payette National Forest, Valley County, Idaho</dc:creator>
  <cp:keywords>Stibnite Gold Project; Environmental Impact Statement (EIS); National Environmental Policy Act (NEPA); Payette National Forest; Boise National Forest; Midas Gold; Environmental Consequences; Effects Analysis; Issues and Indicators; Incomplete and Unavailable Information; Impact Assessment; Direct and Indirect Effects; Cumulative Effects; Mitigation Measures; Irreversible and Irretrievable Commitments of Public Resources; Short-Term Uses versus Long-Term Productivity; Forest Plan Consistency and Potential Amendments; Geologic Resources and Geotechnical Hazards; Air Quality; Climate Change; Soils and Reclamation Cover Materials; Noise; Hazardous Materials; Surface Water and Groundwater Quality and Quantity; General Vegetation Communities; Non-native Plants and Botanical Resources; Wetlands and Riparian Resources; Fish and Aquatic Resources Threatened Endangered Proposed and Sensitive Species; Wildlife and Wildlife Habitat; Timber Resources; Land Use and Management; Access and Transportation; Cultural Resources and Tribal Treaty Rights and Interests; Public Health and Safety; Recreation; Scenic Resources; Social and Economic Conditions; Environmental Justice; Special Designations; Wilderness; Wild and Scenic Rivers; Inventoried Roadless Areas (IRAs); Research Natural Areas (RNAs); Mine Site; Open Pits; Tailings Storage Facility (TSF); Development Rock Storage Facility (DRSF); Ore Processing Facilities; Access Roads; Burntlog Route; Yellow Pine Route; Utilities; Transmission; Off-site Facilities; Stibnite Gold Logistics Facility (SGLF); Landmark Maintenance Facility; Construction; Operations; Closure and Reclamation; Alternatives Comparison.</cp:keywords>
  <dc:description/>
  <cp:lastModifiedBy>Kochevar, Elizabeth (ekochevar@uidaho.edu)</cp:lastModifiedBy>
  <cp:revision>4</cp:revision>
  <dcterms:created xsi:type="dcterms:W3CDTF">2020-10-27T17:27:00Z</dcterms:created>
  <dcterms:modified xsi:type="dcterms:W3CDTF">2020-10-28T03:09:00Z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