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7DECF" w14:textId="484F65B0" w:rsidR="00BE0125" w:rsidRDefault="00C46743" w:rsidP="008F2441">
      <w:pPr>
        <w:rPr>
          <w:rFonts w:ascii="Myriad Pro" w:hAnsi="Myriad Pro"/>
        </w:rPr>
      </w:pPr>
      <w:r>
        <w:rPr>
          <w:noProof/>
        </w:rPr>
        <w:drawing>
          <wp:inline distT="0" distB="0" distL="0" distR="0" wp14:anchorId="0BC272BC" wp14:editId="181BC31C">
            <wp:extent cx="988965"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650" cy="985056"/>
                    </a:xfrm>
                    <a:prstGeom prst="rect">
                      <a:avLst/>
                    </a:prstGeom>
                    <a:noFill/>
                    <a:ln>
                      <a:noFill/>
                    </a:ln>
                  </pic:spPr>
                </pic:pic>
              </a:graphicData>
            </a:graphic>
          </wp:inline>
        </w:drawing>
      </w:r>
      <w:r w:rsidR="00D230B0">
        <w:rPr>
          <w:rFonts w:ascii="Myriad Pro" w:hAnsi="Myriad Pro"/>
        </w:rPr>
        <w:tab/>
      </w:r>
      <w:r w:rsidR="00D230B0">
        <w:rPr>
          <w:rFonts w:ascii="Myriad Pro" w:hAnsi="Myriad Pro"/>
        </w:rPr>
        <w:tab/>
      </w:r>
      <w:r w:rsidR="00D230B0">
        <w:rPr>
          <w:noProof/>
        </w:rPr>
        <w:drawing>
          <wp:inline distT="0" distB="0" distL="0" distR="0" wp14:anchorId="190877FE" wp14:editId="787E4476">
            <wp:extent cx="2905760" cy="66228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6648" cy="774172"/>
                    </a:xfrm>
                    <a:prstGeom prst="rect">
                      <a:avLst/>
                    </a:prstGeom>
                    <a:noFill/>
                    <a:ln>
                      <a:noFill/>
                    </a:ln>
                  </pic:spPr>
                </pic:pic>
              </a:graphicData>
            </a:graphic>
          </wp:inline>
        </w:drawing>
      </w:r>
    </w:p>
    <w:p w14:paraId="1123DDF9" w14:textId="71F10C9F" w:rsidR="00630943" w:rsidRDefault="00630943" w:rsidP="008F2441">
      <w:pPr>
        <w:rPr>
          <w:rFonts w:ascii="Myriad Pro" w:hAnsi="Myriad Pro"/>
        </w:rPr>
      </w:pPr>
    </w:p>
    <w:p w14:paraId="5AB277AC" w14:textId="4613C396" w:rsidR="00630943" w:rsidRPr="004950DF" w:rsidRDefault="00630943" w:rsidP="00630943">
      <w:pPr>
        <w:jc w:val="right"/>
        <w:rPr>
          <w:rFonts w:ascii="Cambria" w:hAnsi="Cambria"/>
        </w:rPr>
      </w:pPr>
      <w:r w:rsidRPr="004950DF">
        <w:rPr>
          <w:rFonts w:ascii="Cambria" w:hAnsi="Cambria"/>
        </w:rPr>
        <w:t>August 1</w:t>
      </w:r>
      <w:r w:rsidR="000F35E6">
        <w:rPr>
          <w:rFonts w:ascii="Cambria" w:hAnsi="Cambria"/>
        </w:rPr>
        <w:t>3</w:t>
      </w:r>
      <w:r w:rsidRPr="004950DF">
        <w:rPr>
          <w:rFonts w:ascii="Cambria" w:hAnsi="Cambria"/>
        </w:rPr>
        <w:t>, 2020</w:t>
      </w:r>
    </w:p>
    <w:p w14:paraId="0BA5F806" w14:textId="77777777" w:rsidR="00630943" w:rsidRDefault="00630943" w:rsidP="00630943">
      <w:pPr>
        <w:rPr>
          <w:b/>
          <w:bCs/>
          <w:sz w:val="28"/>
          <w:szCs w:val="28"/>
        </w:rPr>
      </w:pPr>
    </w:p>
    <w:p w14:paraId="7928BF4A" w14:textId="77777777" w:rsidR="00630943" w:rsidRPr="004950DF" w:rsidRDefault="00630943" w:rsidP="00630943">
      <w:pPr>
        <w:rPr>
          <w:rFonts w:ascii="Cambria" w:hAnsi="Cambria"/>
        </w:rPr>
      </w:pPr>
      <w:r w:rsidRPr="004950DF">
        <w:rPr>
          <w:rFonts w:ascii="Cambria" w:hAnsi="Cambria"/>
        </w:rPr>
        <w:t>Jason Kuiken</w:t>
      </w:r>
    </w:p>
    <w:p w14:paraId="2B3F742B" w14:textId="77777777" w:rsidR="00630943" w:rsidRPr="004950DF" w:rsidRDefault="00630943" w:rsidP="00630943">
      <w:pPr>
        <w:rPr>
          <w:rFonts w:ascii="Cambria" w:hAnsi="Cambria"/>
        </w:rPr>
      </w:pPr>
      <w:r w:rsidRPr="004950DF">
        <w:rPr>
          <w:rFonts w:ascii="Cambria" w:hAnsi="Cambria"/>
        </w:rPr>
        <w:t>Forest Supervisor</w:t>
      </w:r>
    </w:p>
    <w:p w14:paraId="3C5859E2" w14:textId="77777777" w:rsidR="00630943" w:rsidRPr="004950DF" w:rsidRDefault="00630943" w:rsidP="00630943">
      <w:pPr>
        <w:rPr>
          <w:rFonts w:ascii="Cambria" w:hAnsi="Cambria"/>
        </w:rPr>
      </w:pPr>
      <w:r w:rsidRPr="004950DF">
        <w:rPr>
          <w:rFonts w:ascii="Cambria" w:hAnsi="Cambria"/>
        </w:rPr>
        <w:t>USDA - Stanislaus National Forest</w:t>
      </w:r>
    </w:p>
    <w:p w14:paraId="247CF8C9" w14:textId="77777777" w:rsidR="00630943" w:rsidRPr="004950DF" w:rsidRDefault="00630943" w:rsidP="00630943">
      <w:pPr>
        <w:rPr>
          <w:rFonts w:ascii="Cambria" w:hAnsi="Cambria"/>
        </w:rPr>
      </w:pPr>
      <w:r w:rsidRPr="004950DF">
        <w:rPr>
          <w:rFonts w:ascii="Cambria" w:hAnsi="Cambria"/>
        </w:rPr>
        <w:t>19777 Greenley Road</w:t>
      </w:r>
    </w:p>
    <w:p w14:paraId="69610E02" w14:textId="77777777" w:rsidR="00630943" w:rsidRPr="004950DF" w:rsidRDefault="00630943" w:rsidP="00630943">
      <w:pPr>
        <w:rPr>
          <w:rFonts w:ascii="Cambria" w:hAnsi="Cambria"/>
        </w:rPr>
      </w:pPr>
      <w:r w:rsidRPr="004950DF">
        <w:rPr>
          <w:rFonts w:ascii="Cambria" w:hAnsi="Cambria"/>
        </w:rPr>
        <w:t>Sonora CA, 95370</w:t>
      </w:r>
    </w:p>
    <w:p w14:paraId="4B635E82" w14:textId="77777777" w:rsidR="00630943" w:rsidRPr="004950DF" w:rsidRDefault="00630943" w:rsidP="00630943">
      <w:pPr>
        <w:rPr>
          <w:rFonts w:ascii="Cambria" w:hAnsi="Cambria"/>
        </w:rPr>
      </w:pPr>
    </w:p>
    <w:p w14:paraId="3E2D7DC3" w14:textId="77777777" w:rsidR="00630943" w:rsidRDefault="00630943" w:rsidP="00630943">
      <w:pPr>
        <w:rPr>
          <w:rFonts w:ascii="Cambria" w:hAnsi="Cambria"/>
        </w:rPr>
      </w:pPr>
      <w:r w:rsidRPr="004950DF">
        <w:rPr>
          <w:rFonts w:ascii="Cambria" w:hAnsi="Cambria"/>
        </w:rPr>
        <w:t>Re:</w:t>
      </w:r>
      <w:r>
        <w:rPr>
          <w:rFonts w:ascii="Cambria" w:hAnsi="Cambria"/>
        </w:rPr>
        <w:t xml:space="preserve"> Federal Register Notice Volume 85, No. 137 published July 16, 2020 Pages 43205- 43206 Titled </w:t>
      </w:r>
      <w:r w:rsidRPr="00F079AE">
        <w:rPr>
          <w:rFonts w:ascii="Cambria" w:hAnsi="Cambria"/>
        </w:rPr>
        <w:t>“Stanislaus National Forest; California; Social and Ecological Resilience Across the Landscape EIS”</w:t>
      </w:r>
    </w:p>
    <w:p w14:paraId="723E8830" w14:textId="77777777" w:rsidR="00630943" w:rsidRPr="00F079AE" w:rsidRDefault="00630943" w:rsidP="00630943">
      <w:pPr>
        <w:rPr>
          <w:rFonts w:ascii="Cambria" w:hAnsi="Cambria"/>
        </w:rPr>
      </w:pPr>
    </w:p>
    <w:p w14:paraId="63FB9E49" w14:textId="77777777" w:rsidR="00630943" w:rsidRPr="00F079AE" w:rsidRDefault="00630943" w:rsidP="00630943">
      <w:pPr>
        <w:rPr>
          <w:rFonts w:ascii="Cambria" w:hAnsi="Cambria"/>
        </w:rPr>
      </w:pPr>
      <w:r w:rsidRPr="00F079AE">
        <w:rPr>
          <w:rFonts w:ascii="Cambria" w:hAnsi="Cambria"/>
        </w:rPr>
        <w:t>Action: Notice of intent to prepare an environmental impact statement.</w:t>
      </w:r>
    </w:p>
    <w:p w14:paraId="46F4324E" w14:textId="77777777" w:rsidR="00630943" w:rsidRDefault="00630943" w:rsidP="00630943">
      <w:pPr>
        <w:rPr>
          <w:rFonts w:ascii="Cambria" w:hAnsi="Cambria"/>
        </w:rPr>
      </w:pPr>
    </w:p>
    <w:p w14:paraId="213AC7BC" w14:textId="72CEC3AB" w:rsidR="00630943" w:rsidRPr="004950DF" w:rsidRDefault="00630943" w:rsidP="00630943">
      <w:pPr>
        <w:rPr>
          <w:rFonts w:ascii="Cambria" w:hAnsi="Cambria"/>
        </w:rPr>
      </w:pPr>
      <w:r>
        <w:rPr>
          <w:rFonts w:ascii="Cambria" w:hAnsi="Cambria"/>
        </w:rPr>
        <w:t xml:space="preserve">As provided for in your Scoping Letter, Calforests </w:t>
      </w:r>
      <w:r w:rsidR="008737A0">
        <w:rPr>
          <w:rFonts w:ascii="Cambria" w:hAnsi="Cambria"/>
        </w:rPr>
        <w:t>is</w:t>
      </w:r>
      <w:r>
        <w:rPr>
          <w:rFonts w:ascii="Cambria" w:hAnsi="Cambria"/>
        </w:rPr>
        <w:t xml:space="preserve"> submitting Comments electronically to: </w:t>
      </w:r>
      <w:hyperlink r:id="rId10" w:history="1">
        <w:r w:rsidRPr="004950DF">
          <w:rPr>
            <w:rStyle w:val="Hyperlink"/>
            <w:rFonts w:ascii="Cambria" w:hAnsi="Cambria"/>
          </w:rPr>
          <w:t>https://cara.ecosystem-management.org/Public/commentInput?Project=56500</w:t>
        </w:r>
      </w:hyperlink>
      <w:r w:rsidRPr="004950DF">
        <w:rPr>
          <w:rFonts w:ascii="Cambria" w:hAnsi="Cambria"/>
        </w:rPr>
        <w:t xml:space="preserve">. </w:t>
      </w:r>
    </w:p>
    <w:p w14:paraId="670D3243" w14:textId="77777777" w:rsidR="00630943" w:rsidRPr="004950DF" w:rsidRDefault="00630943" w:rsidP="00630943">
      <w:pPr>
        <w:rPr>
          <w:rFonts w:ascii="Cambria" w:hAnsi="Cambria"/>
        </w:rPr>
      </w:pPr>
    </w:p>
    <w:p w14:paraId="004E32AC" w14:textId="77777777" w:rsidR="00630943" w:rsidRPr="004950DF" w:rsidRDefault="00630943" w:rsidP="00630943">
      <w:pPr>
        <w:rPr>
          <w:rFonts w:ascii="Cambria" w:hAnsi="Cambria"/>
        </w:rPr>
      </w:pPr>
      <w:r w:rsidRPr="004950DF">
        <w:rPr>
          <w:rFonts w:ascii="Cambria" w:hAnsi="Cambria"/>
        </w:rPr>
        <w:t>Dear Mr. Kuiken,</w:t>
      </w:r>
    </w:p>
    <w:p w14:paraId="52FAAD66" w14:textId="77777777" w:rsidR="00630943" w:rsidRPr="004950DF" w:rsidRDefault="00630943" w:rsidP="00630943">
      <w:pPr>
        <w:rPr>
          <w:rFonts w:ascii="Cambria" w:hAnsi="Cambria"/>
        </w:rPr>
      </w:pPr>
    </w:p>
    <w:p w14:paraId="75DB15BE" w14:textId="6F051785" w:rsidR="00630943" w:rsidRDefault="00630943" w:rsidP="00630943">
      <w:pPr>
        <w:rPr>
          <w:rFonts w:ascii="Cambria" w:hAnsi="Cambria"/>
        </w:rPr>
      </w:pPr>
      <w:r w:rsidRPr="004950DF">
        <w:rPr>
          <w:rFonts w:ascii="Cambria" w:hAnsi="Cambria"/>
        </w:rPr>
        <w:t xml:space="preserve">Thank you for the opportunity to comment on the SERAL </w:t>
      </w:r>
      <w:r>
        <w:rPr>
          <w:rFonts w:ascii="Cambria" w:hAnsi="Cambria"/>
        </w:rPr>
        <w:t xml:space="preserve">project </w:t>
      </w:r>
      <w:r w:rsidRPr="004950DF">
        <w:rPr>
          <w:rFonts w:ascii="Cambria" w:hAnsi="Cambria"/>
        </w:rPr>
        <w:t>scoping document.</w:t>
      </w:r>
      <w:r w:rsidR="008737A0">
        <w:rPr>
          <w:rFonts w:ascii="Cambria" w:hAnsi="Cambria"/>
        </w:rPr>
        <w:t xml:space="preserve">  Calforests commends the Stanislaus National Forest in taking this step to move toward landscape-scale projects.  We further commend you for </w:t>
      </w:r>
      <w:r w:rsidR="006C39A5">
        <w:t xml:space="preserve">utilizing the Yosemite/Stanislaus Solutions collaborative group.  Interaction with the Collaborative helps to ensure that a diverse range of viewpoints and expertise has been taken into consideration as the forest moves towards a decision.  </w:t>
      </w:r>
    </w:p>
    <w:p w14:paraId="70DE13A1" w14:textId="77777777" w:rsidR="00630943" w:rsidRDefault="00630943" w:rsidP="00630943">
      <w:pPr>
        <w:rPr>
          <w:rFonts w:ascii="Cambria" w:hAnsi="Cambria"/>
        </w:rPr>
      </w:pPr>
    </w:p>
    <w:p w14:paraId="12A40033" w14:textId="258348A7" w:rsidR="00630943" w:rsidRPr="004950DF" w:rsidRDefault="00630943" w:rsidP="00630943">
      <w:pPr>
        <w:rPr>
          <w:rFonts w:ascii="Cambria" w:hAnsi="Cambria"/>
          <w:b/>
          <w:bCs/>
        </w:rPr>
      </w:pPr>
      <w:r w:rsidRPr="004950DF">
        <w:rPr>
          <w:rFonts w:ascii="Cambria" w:hAnsi="Cambria"/>
        </w:rPr>
        <w:t>Calforests has a membership consisting of most of California’s large industrial forest landowners, many non-industrial forest landowners, most of the 28 remaining medium and large sawmills and veneer mills, several biomass powerplants and one shavings mill. Our mission is to create a favorable operating environment for the forest products industry, ensure a reliable wood supply from public and private lands, and promote sustainable management of forest lands.</w:t>
      </w:r>
    </w:p>
    <w:p w14:paraId="38A86FFB" w14:textId="77777777" w:rsidR="00630943" w:rsidRDefault="00630943" w:rsidP="00630943">
      <w:pPr>
        <w:rPr>
          <w:sz w:val="28"/>
          <w:szCs w:val="28"/>
        </w:rPr>
      </w:pPr>
    </w:p>
    <w:p w14:paraId="30DCC6A7" w14:textId="77777777" w:rsidR="00630943" w:rsidRDefault="00630943" w:rsidP="00630943">
      <w:pPr>
        <w:rPr>
          <w:rFonts w:ascii="Cambria" w:hAnsi="Cambria"/>
        </w:rPr>
      </w:pPr>
      <w:r w:rsidRPr="00F079AE">
        <w:rPr>
          <w:rFonts w:ascii="Cambria" w:hAnsi="Cambria"/>
        </w:rPr>
        <w:lastRenderedPageBreak/>
        <w:t>Calforests concurs with the Project Purpose as stated in the Federal Register Notice</w:t>
      </w:r>
      <w:r>
        <w:rPr>
          <w:rFonts w:ascii="Cambria" w:hAnsi="Cambria"/>
        </w:rPr>
        <w:t xml:space="preserve"> (pg. 43205)</w:t>
      </w:r>
      <w:r w:rsidRPr="00F079AE">
        <w:rPr>
          <w:rFonts w:ascii="Cambria" w:hAnsi="Cambria"/>
        </w:rPr>
        <w:t>:</w:t>
      </w:r>
    </w:p>
    <w:p w14:paraId="20BDBFAC" w14:textId="77777777" w:rsidR="00630943" w:rsidRPr="00F079AE" w:rsidRDefault="00630943" w:rsidP="00630943">
      <w:pPr>
        <w:rPr>
          <w:rFonts w:ascii="Cambria" w:hAnsi="Cambria"/>
        </w:rPr>
      </w:pPr>
    </w:p>
    <w:p w14:paraId="2A6EFC82" w14:textId="77777777" w:rsidR="00630943" w:rsidRDefault="00630943" w:rsidP="00630943">
      <w:pPr>
        <w:ind w:left="540" w:right="720"/>
        <w:rPr>
          <w:rFonts w:ascii="Cambria" w:hAnsi="Cambria"/>
        </w:rPr>
      </w:pPr>
      <w:r>
        <w:rPr>
          <w:rFonts w:ascii="Cambria" w:hAnsi="Cambria"/>
        </w:rPr>
        <w:t>“</w:t>
      </w:r>
      <w:r w:rsidRPr="004950DF">
        <w:rPr>
          <w:rFonts w:ascii="Cambria" w:hAnsi="Cambria"/>
        </w:rPr>
        <w:t>The purpose of the SERAL EIS is to prepare the landscape for the safe reintroduction of fire as a key ecological process, increase the landscape’s resilience and adaptive capacity to natural disturbances such as fire, drought, insects and disease, reduce the risk of fire spreading into communities or damaging critical infrastructure, and to manage the forest in a cost-effective manner, including making wood products available to local industries and businesses. The actions proposed in the SERAL project are needed to minimize the potential for large-, high</w:t>
      </w:r>
      <w:r>
        <w:rPr>
          <w:rFonts w:ascii="Cambria" w:hAnsi="Cambria"/>
        </w:rPr>
        <w:t xml:space="preserve"> </w:t>
      </w:r>
      <w:r w:rsidRPr="004950DF">
        <w:rPr>
          <w:rFonts w:ascii="Cambria" w:hAnsi="Cambria"/>
        </w:rPr>
        <w:t>severity fire and habitat loss; shift the landscape vegetation structure and composition towards conditions that are more in alignment with its historic NRV, abate hazard trees; control occurrences of invasive, non-native plants; and assist wildfire management operations., conserve and/or restore terrestrial and aquatic ecosystems and protect these systems.</w:t>
      </w:r>
      <w:r>
        <w:rPr>
          <w:rFonts w:ascii="Cambria" w:hAnsi="Cambria"/>
        </w:rPr>
        <w:t>”</w:t>
      </w:r>
    </w:p>
    <w:p w14:paraId="7ED9C497" w14:textId="77777777" w:rsidR="00630943" w:rsidRDefault="00630943" w:rsidP="00630943">
      <w:pPr>
        <w:ind w:left="540" w:right="720"/>
        <w:rPr>
          <w:rFonts w:ascii="Cambria" w:hAnsi="Cambria"/>
        </w:rPr>
      </w:pPr>
    </w:p>
    <w:p w14:paraId="0357CBFF" w14:textId="19E889C2" w:rsidR="00630943" w:rsidRDefault="00630943" w:rsidP="00630943">
      <w:pPr>
        <w:ind w:right="720"/>
        <w:rPr>
          <w:rFonts w:ascii="Cambria" w:hAnsi="Cambria"/>
        </w:rPr>
      </w:pPr>
      <w:r>
        <w:rPr>
          <w:rFonts w:ascii="Cambria" w:hAnsi="Cambria"/>
        </w:rPr>
        <w:t>Calforests also concurs with the Project “Need” as stated in the Federal Register Notice (</w:t>
      </w:r>
      <w:r w:rsidR="008737A0">
        <w:rPr>
          <w:rFonts w:ascii="Cambria" w:hAnsi="Cambria"/>
        </w:rPr>
        <w:t>pg.</w:t>
      </w:r>
      <w:r>
        <w:rPr>
          <w:rFonts w:ascii="Cambria" w:hAnsi="Cambria"/>
        </w:rPr>
        <w:t xml:space="preserve"> 43205):</w:t>
      </w:r>
    </w:p>
    <w:p w14:paraId="5A39A1EB" w14:textId="77777777" w:rsidR="00630943" w:rsidRDefault="00630943" w:rsidP="00630943">
      <w:pPr>
        <w:ind w:right="720"/>
        <w:rPr>
          <w:rFonts w:ascii="Cambria" w:hAnsi="Cambria"/>
        </w:rPr>
      </w:pPr>
    </w:p>
    <w:p w14:paraId="70059B9F" w14:textId="77777777" w:rsidR="00630943" w:rsidRPr="00F079AE" w:rsidRDefault="00630943" w:rsidP="00630943">
      <w:pPr>
        <w:ind w:left="540" w:right="720"/>
        <w:rPr>
          <w:rFonts w:ascii="Cambria" w:hAnsi="Cambria"/>
        </w:rPr>
      </w:pPr>
      <w:r>
        <w:rPr>
          <w:rFonts w:ascii="Cambria" w:hAnsi="Cambria"/>
        </w:rPr>
        <w:t xml:space="preserve">“The actions proposed are </w:t>
      </w:r>
      <w:r w:rsidRPr="00F079AE">
        <w:rPr>
          <w:rFonts w:ascii="Cambria" w:hAnsi="Cambria"/>
        </w:rPr>
        <w:t>needed to minimize the potential for large, high</w:t>
      </w:r>
      <w:r>
        <w:rPr>
          <w:rFonts w:ascii="Cambria" w:hAnsi="Cambria"/>
        </w:rPr>
        <w:t>-</w:t>
      </w:r>
      <w:r w:rsidRPr="00F079AE">
        <w:rPr>
          <w:rFonts w:ascii="Cambria" w:hAnsi="Cambria"/>
        </w:rPr>
        <w:t>severity fire and habitat loss; shift the landscape vegetation structure and composition towards conditions that are more in alignment with its historic N</w:t>
      </w:r>
      <w:r>
        <w:rPr>
          <w:rFonts w:ascii="Cambria" w:hAnsi="Cambria"/>
        </w:rPr>
        <w:t>atural Range of Variability</w:t>
      </w:r>
      <w:r w:rsidRPr="00F079AE">
        <w:rPr>
          <w:rFonts w:ascii="Cambria" w:hAnsi="Cambria"/>
        </w:rPr>
        <w:t>, abate hazard trees; control occurrences of invasive, non-native plants; and assist wildfire management operations., conserve and/or restore terrestrial and aquatic ec</w:t>
      </w:r>
      <w:r>
        <w:rPr>
          <w:rFonts w:ascii="Cambria" w:hAnsi="Cambria"/>
        </w:rPr>
        <w:t>o</w:t>
      </w:r>
      <w:r w:rsidRPr="00F079AE">
        <w:rPr>
          <w:rFonts w:ascii="Cambria" w:hAnsi="Cambria"/>
        </w:rPr>
        <w:t>systems and protect these systems.</w:t>
      </w:r>
      <w:r>
        <w:rPr>
          <w:rFonts w:ascii="Cambria" w:hAnsi="Cambria"/>
        </w:rPr>
        <w:t>”</w:t>
      </w:r>
    </w:p>
    <w:p w14:paraId="22300824" w14:textId="77777777" w:rsidR="00630943" w:rsidRDefault="00630943" w:rsidP="00630943">
      <w:pPr>
        <w:rPr>
          <w:rFonts w:ascii="Cambria" w:hAnsi="Cambria"/>
        </w:rPr>
      </w:pPr>
    </w:p>
    <w:p w14:paraId="27B51DC7" w14:textId="44825804" w:rsidR="00630943" w:rsidRDefault="00EE05D7" w:rsidP="00630943">
      <w:pPr>
        <w:rPr>
          <w:rFonts w:ascii="Cambria" w:hAnsi="Cambria"/>
        </w:rPr>
      </w:pPr>
      <w:r>
        <w:rPr>
          <w:rFonts w:ascii="Cambria" w:hAnsi="Cambria"/>
        </w:rPr>
        <w:t>The Stanislaus National Forest has been a significant contributor to the wood supply in Tuolumne County for its wood processing infrastructure.  Tuolumne County enjoys the most diverse set of wood processing facilities of any county in the state with a state-of the art sawmill and co-generation powerplant, stand-alone biomass power</w:t>
      </w:r>
      <w:r w:rsidR="00372E1A">
        <w:rPr>
          <w:rFonts w:ascii="Cambria" w:hAnsi="Cambria"/>
        </w:rPr>
        <w:t xml:space="preserve"> </w:t>
      </w:r>
      <w:r>
        <w:rPr>
          <w:rFonts w:ascii="Cambria" w:hAnsi="Cambria"/>
        </w:rPr>
        <w:t>plant, fence mill, and a shavings mill.  As shown by a Forest Service Washington Office timber program review of the Stanislaus National Forest in 2005, the Forest needs to be providing economic timber sale and stewardship projects that generate 40 million board feet (mmbf) per year</w:t>
      </w:r>
      <w:r w:rsidR="00372E1A">
        <w:rPr>
          <w:rFonts w:ascii="Cambria" w:hAnsi="Cambria"/>
        </w:rPr>
        <w:t xml:space="preserve"> to maintain the viability of the infrastructure</w:t>
      </w:r>
      <w:r>
        <w:rPr>
          <w:rFonts w:ascii="Cambria" w:hAnsi="Cambria"/>
        </w:rPr>
        <w:t xml:space="preserve">.  On average the Forest has sold </w:t>
      </w:r>
      <w:r w:rsidR="00372E1A">
        <w:rPr>
          <w:rFonts w:ascii="Cambria" w:hAnsi="Cambria"/>
        </w:rPr>
        <w:t>36.7</w:t>
      </w:r>
      <w:r>
        <w:rPr>
          <w:rFonts w:ascii="Cambria" w:hAnsi="Cambria"/>
        </w:rPr>
        <w:t xml:space="preserve"> mmbf/year since 200</w:t>
      </w:r>
      <w:r w:rsidR="00372E1A">
        <w:rPr>
          <w:rFonts w:ascii="Cambria" w:hAnsi="Cambria"/>
        </w:rPr>
        <w:t>6</w:t>
      </w:r>
      <w:r>
        <w:rPr>
          <w:rFonts w:ascii="Cambria" w:hAnsi="Cambria"/>
        </w:rPr>
        <w:t>.</w:t>
      </w:r>
    </w:p>
    <w:p w14:paraId="57776825" w14:textId="1AE3335A" w:rsidR="00372E1A" w:rsidRDefault="00372E1A" w:rsidP="00630943">
      <w:pPr>
        <w:rPr>
          <w:rFonts w:ascii="Cambria" w:hAnsi="Cambria"/>
        </w:rPr>
      </w:pPr>
    </w:p>
    <w:p w14:paraId="6CB36419" w14:textId="77777777" w:rsidR="006C39A5" w:rsidRDefault="00372E1A" w:rsidP="00630943">
      <w:pPr>
        <w:rPr>
          <w:rFonts w:ascii="Cambria" w:hAnsi="Cambria"/>
        </w:rPr>
      </w:pPr>
      <w:r>
        <w:rPr>
          <w:rFonts w:ascii="Cambria" w:hAnsi="Cambria"/>
        </w:rPr>
        <w:lastRenderedPageBreak/>
        <w:t xml:space="preserve">Calforests commends the Stanislaus National Forest for taking the positive step through the SERAL project of addressing the overly dense vegetative condition at a landscape scale.  From the Westcore Data Tables using 2005 Forest Inventory and Analysis (FIA) permanent plot data, </w:t>
      </w:r>
      <w:r w:rsidR="004F7637">
        <w:rPr>
          <w:rFonts w:ascii="Cambria" w:hAnsi="Cambria"/>
        </w:rPr>
        <w:t xml:space="preserve">on average on productive forest land not reserved, </w:t>
      </w:r>
      <w:r>
        <w:rPr>
          <w:rFonts w:ascii="Cambria" w:hAnsi="Cambria"/>
        </w:rPr>
        <w:t xml:space="preserve">the Stanislaus National Forest was carrying </w:t>
      </w:r>
      <w:r w:rsidR="004F7637">
        <w:rPr>
          <w:rFonts w:ascii="Cambria" w:hAnsi="Cambria"/>
        </w:rPr>
        <w:t>278</w:t>
      </w:r>
      <w:r>
        <w:rPr>
          <w:rFonts w:ascii="Cambria" w:hAnsi="Cambria"/>
        </w:rPr>
        <w:t xml:space="preserve">  </w:t>
      </w:r>
      <w:r w:rsidR="004F7637">
        <w:rPr>
          <w:rFonts w:ascii="Cambria" w:hAnsi="Cambria"/>
        </w:rPr>
        <w:t xml:space="preserve">trees/acre on a landscape that likely has a carrying capacity of about 20-150 trees/acre depending on elevation, slope, slope position and aspect.  </w:t>
      </w:r>
    </w:p>
    <w:p w14:paraId="51ECCC93" w14:textId="77777777" w:rsidR="006C39A5" w:rsidRDefault="006C39A5" w:rsidP="00630943">
      <w:pPr>
        <w:rPr>
          <w:rFonts w:ascii="Cambria" w:hAnsi="Cambria"/>
        </w:rPr>
      </w:pPr>
    </w:p>
    <w:p w14:paraId="1935CA5B" w14:textId="39141169" w:rsidR="00372E1A" w:rsidRDefault="004F7637" w:rsidP="00630943">
      <w:pPr>
        <w:rPr>
          <w:rFonts w:ascii="Cambria" w:hAnsi="Cambria"/>
        </w:rPr>
      </w:pPr>
      <w:r>
        <w:rPr>
          <w:rFonts w:ascii="Cambria" w:hAnsi="Cambria"/>
        </w:rPr>
        <w:t xml:space="preserve">The 2010 FIA data on the national forests in California showed tree density increased from 2005 by 12 percent.  The Forest Service, unfortunately, did not rerun the Westcore Data Tables using the 2010 FIA data.  So though there’s not data specific for the Stanislaus National Forest, the trend is obvious.  Tree density is increasing because the Forest Service has not been able to </w:t>
      </w:r>
      <w:r w:rsidR="003A71AD">
        <w:rPr>
          <w:rFonts w:ascii="Cambria" w:hAnsi="Cambria"/>
        </w:rPr>
        <w:t>do fuels reduction on enough acres to move the Forest toward the desired condition.</w:t>
      </w:r>
    </w:p>
    <w:p w14:paraId="4A139FD8" w14:textId="6DE7F1DD" w:rsidR="00372E1A" w:rsidRDefault="00372E1A" w:rsidP="00630943">
      <w:pPr>
        <w:rPr>
          <w:rFonts w:ascii="Cambria" w:hAnsi="Cambria"/>
        </w:rPr>
      </w:pPr>
    </w:p>
    <w:p w14:paraId="7636A7AA" w14:textId="045E663D" w:rsidR="00372E1A" w:rsidRDefault="00372E1A" w:rsidP="00630943">
      <w:pPr>
        <w:rPr>
          <w:rFonts w:ascii="Cambria" w:hAnsi="Cambria"/>
        </w:rPr>
      </w:pPr>
      <w:r>
        <w:rPr>
          <w:rFonts w:ascii="Cambria" w:hAnsi="Cambria"/>
        </w:rPr>
        <w:t>The</w:t>
      </w:r>
      <w:r w:rsidR="003A71AD">
        <w:rPr>
          <w:rFonts w:ascii="Cambria" w:hAnsi="Cambria"/>
        </w:rPr>
        <w:t xml:space="preserve"> Region, including the</w:t>
      </w:r>
      <w:r>
        <w:rPr>
          <w:rFonts w:ascii="Cambria" w:hAnsi="Cambria"/>
        </w:rPr>
        <w:t xml:space="preserve"> Stanislaus National Forest</w:t>
      </w:r>
      <w:r w:rsidR="003A71AD">
        <w:rPr>
          <w:rFonts w:ascii="Cambria" w:hAnsi="Cambria"/>
        </w:rPr>
        <w:t>,</w:t>
      </w:r>
      <w:r>
        <w:rPr>
          <w:rFonts w:ascii="Cambria" w:hAnsi="Cambria"/>
        </w:rPr>
        <w:t xml:space="preserve"> </w:t>
      </w:r>
      <w:r w:rsidR="003A71AD">
        <w:rPr>
          <w:rFonts w:ascii="Cambria" w:hAnsi="Cambria"/>
        </w:rPr>
        <w:t>had a significant increase in</w:t>
      </w:r>
      <w:r>
        <w:rPr>
          <w:rFonts w:ascii="Cambria" w:hAnsi="Cambria"/>
        </w:rPr>
        <w:t xml:space="preserve"> fuels reduction acres </w:t>
      </w:r>
      <w:r w:rsidR="003A71AD">
        <w:rPr>
          <w:rFonts w:ascii="Cambria" w:hAnsi="Cambria"/>
        </w:rPr>
        <w:t>accomplished in 2019 to 216, 000 acres.  The Stanislaus Natl. Forest accomplished 23,255 acres of its 487</w:t>
      </w:r>
      <w:r w:rsidR="00601AA9">
        <w:rPr>
          <w:rFonts w:ascii="Cambria" w:hAnsi="Cambria"/>
        </w:rPr>
        <w:t>,</w:t>
      </w:r>
      <w:r w:rsidR="003A71AD">
        <w:rPr>
          <w:rFonts w:ascii="Cambria" w:hAnsi="Cambria"/>
        </w:rPr>
        <w:t xml:space="preserve">982 acres of productive forest land not reserved (4.8 percent).  The Stanislaus Natl. Forest in 2019 was aligned exactly with the Regional Forester’s </w:t>
      </w:r>
      <w:r w:rsidR="006C39A5">
        <w:rPr>
          <w:rFonts w:ascii="Cambria" w:hAnsi="Cambria"/>
        </w:rPr>
        <w:t xml:space="preserve"> March </w:t>
      </w:r>
      <w:r w:rsidR="003A71AD">
        <w:rPr>
          <w:rFonts w:ascii="Cambria" w:hAnsi="Cambria"/>
        </w:rPr>
        <w:t xml:space="preserve">2011 Leadership Intent white paper calling for 500,000 acres/year on 9 million acres of productive forest land not reserved on a </w:t>
      </w:r>
      <w:r w:rsidR="008737A0">
        <w:rPr>
          <w:rFonts w:ascii="Cambria" w:hAnsi="Cambria"/>
        </w:rPr>
        <w:t>20-year</w:t>
      </w:r>
      <w:r w:rsidR="003A71AD">
        <w:rPr>
          <w:rFonts w:ascii="Cambria" w:hAnsi="Cambria"/>
        </w:rPr>
        <w:t xml:space="preserve"> time horizon (about 5 percent/year).</w:t>
      </w:r>
    </w:p>
    <w:p w14:paraId="1557699B" w14:textId="557B0B11" w:rsidR="003A71AD" w:rsidRDefault="003A71AD" w:rsidP="00630943">
      <w:pPr>
        <w:rPr>
          <w:rFonts w:ascii="Cambria" w:hAnsi="Cambria"/>
        </w:rPr>
      </w:pPr>
    </w:p>
    <w:p w14:paraId="6C646802" w14:textId="01CDFF4C" w:rsidR="003A71AD" w:rsidRDefault="003A71AD" w:rsidP="00630943">
      <w:pPr>
        <w:rPr>
          <w:rFonts w:ascii="Cambria" w:hAnsi="Cambria"/>
        </w:rPr>
      </w:pPr>
      <w:r>
        <w:rPr>
          <w:rFonts w:ascii="Cambria" w:hAnsi="Cambria"/>
        </w:rPr>
        <w:t>The point of the above information is that the landscape scale SERAL project is exactly the right thing to do</w:t>
      </w:r>
      <w:r w:rsidR="00F94933">
        <w:rPr>
          <w:rFonts w:ascii="Cambria" w:hAnsi="Cambria"/>
        </w:rPr>
        <w:t xml:space="preserve"> to further increase the annual fuels reduction accomplishments on the Forest</w:t>
      </w:r>
      <w:r>
        <w:rPr>
          <w:rFonts w:ascii="Cambria" w:hAnsi="Cambria"/>
        </w:rPr>
        <w:t xml:space="preserve">. </w:t>
      </w:r>
    </w:p>
    <w:p w14:paraId="539223B9" w14:textId="77777777" w:rsidR="00630943" w:rsidRDefault="00630943" w:rsidP="00630943">
      <w:pPr>
        <w:rPr>
          <w:sz w:val="28"/>
          <w:szCs w:val="28"/>
        </w:rPr>
      </w:pPr>
    </w:p>
    <w:p w14:paraId="5C4A7BAA" w14:textId="165C4669" w:rsidR="00630943" w:rsidRPr="006C39A5" w:rsidRDefault="00601AA9" w:rsidP="00630943">
      <w:pPr>
        <w:rPr>
          <w:rFonts w:ascii="Cambria" w:hAnsi="Cambria"/>
        </w:rPr>
      </w:pPr>
      <w:r w:rsidRPr="006C39A5">
        <w:rPr>
          <w:rFonts w:ascii="Cambria" w:hAnsi="Cambria"/>
        </w:rPr>
        <w:t>Following are specific comments to the proposed action shown in the Scoping Notice.</w:t>
      </w:r>
    </w:p>
    <w:p w14:paraId="6D05EBEE" w14:textId="77777777" w:rsidR="00601AA9" w:rsidRDefault="00601AA9" w:rsidP="00630943"/>
    <w:p w14:paraId="30771A5A" w14:textId="77777777" w:rsidR="00630943" w:rsidRPr="006C39A5" w:rsidRDefault="00630943" w:rsidP="00630943">
      <w:pPr>
        <w:rPr>
          <w:rFonts w:ascii="Cambria" w:hAnsi="Cambria"/>
          <w:b/>
          <w:bCs/>
        </w:rPr>
      </w:pPr>
      <w:r w:rsidRPr="006C39A5">
        <w:rPr>
          <w:rFonts w:ascii="Cambria" w:hAnsi="Cambria"/>
          <w:b/>
          <w:bCs/>
        </w:rPr>
        <w:t>Mechanical Thinning Treatments</w:t>
      </w:r>
    </w:p>
    <w:p w14:paraId="643AB041" w14:textId="77777777" w:rsidR="00630943" w:rsidRPr="006C39A5" w:rsidRDefault="00630943" w:rsidP="00630943">
      <w:pPr>
        <w:rPr>
          <w:rFonts w:ascii="Cambria" w:hAnsi="Cambria"/>
        </w:rPr>
      </w:pPr>
    </w:p>
    <w:p w14:paraId="3A88AB58" w14:textId="3B0B34FB" w:rsidR="00630943" w:rsidRPr="006C39A5" w:rsidRDefault="00630943" w:rsidP="00630943">
      <w:pPr>
        <w:rPr>
          <w:rFonts w:ascii="Cambria" w:hAnsi="Cambria"/>
        </w:rPr>
      </w:pPr>
      <w:r w:rsidRPr="006C39A5">
        <w:rPr>
          <w:rFonts w:ascii="Cambria" w:hAnsi="Cambria"/>
          <w:b/>
          <w:bCs/>
        </w:rPr>
        <w:t>D.1 Variable Density Thinning</w:t>
      </w:r>
      <w:r w:rsidRPr="006C39A5">
        <w:rPr>
          <w:rFonts w:ascii="Cambria" w:hAnsi="Cambria"/>
        </w:rPr>
        <w:t xml:space="preserve"> (p.9) – Specialized equipment for removal of harvested material on slopes greater than 35% should include “winch-assist harvesters and forwarders”</w:t>
      </w:r>
      <w:r w:rsidR="00E353D3" w:rsidRPr="006C39A5">
        <w:rPr>
          <w:rFonts w:ascii="Cambria" w:hAnsi="Cambria"/>
        </w:rPr>
        <w:t xml:space="preserve">.  Further, there is substantial empirical evidence that winch-assist harvesters and forwarders can operate with no ground disturbance on slopes of 80 percent or greater.  The harvester’s technique of cutting, limbing and topping trees as the harvester moves down the slope provides the opportunity to place the limbs and tops in front of the harvester.  This creates the opportunity to have a mat of vegetation for the machine to “walk” on.  When this technique is used, </w:t>
      </w:r>
      <w:r w:rsidR="00E353D3" w:rsidRPr="006C39A5">
        <w:rPr>
          <w:rFonts w:ascii="Cambria" w:hAnsi="Cambria"/>
        </w:rPr>
        <w:lastRenderedPageBreak/>
        <w:t>there is no soil disturbance and no measurable compaction.  Further, the vegetative “carpet” reduces rain drop impact and has shown to lead to no discernable runoff.</w:t>
      </w:r>
    </w:p>
    <w:p w14:paraId="282220DE" w14:textId="77777777" w:rsidR="00630943" w:rsidRPr="006C39A5" w:rsidRDefault="00630943" w:rsidP="00630943">
      <w:pPr>
        <w:rPr>
          <w:rFonts w:ascii="Cambria" w:hAnsi="Cambria"/>
        </w:rPr>
      </w:pPr>
    </w:p>
    <w:p w14:paraId="4053AC94" w14:textId="77777777" w:rsidR="00630943" w:rsidRPr="006C39A5" w:rsidRDefault="00630943" w:rsidP="00630943">
      <w:pPr>
        <w:rPr>
          <w:rFonts w:ascii="Cambria" w:hAnsi="Cambria"/>
        </w:rPr>
      </w:pPr>
      <w:r w:rsidRPr="006C39A5">
        <w:rPr>
          <w:rFonts w:ascii="Cambria" w:hAnsi="Cambria"/>
          <w:b/>
          <w:bCs/>
        </w:rPr>
        <w:t>Table 3</w:t>
      </w:r>
      <w:r w:rsidRPr="006C39A5">
        <w:rPr>
          <w:rFonts w:ascii="Cambria" w:hAnsi="Cambria"/>
        </w:rPr>
        <w:t xml:space="preserve"> (p.10). Desired structure within forested stands based on NRV</w:t>
      </w:r>
    </w:p>
    <w:p w14:paraId="651091FD" w14:textId="77777777" w:rsidR="00630943" w:rsidRPr="006C39A5" w:rsidRDefault="00630943" w:rsidP="00630943">
      <w:pPr>
        <w:rPr>
          <w:rFonts w:ascii="Cambria" w:hAnsi="Cambria"/>
        </w:rPr>
      </w:pPr>
    </w:p>
    <w:p w14:paraId="47BD8A26" w14:textId="121766C7" w:rsidR="00630943" w:rsidRPr="006C39A5" w:rsidRDefault="00630943" w:rsidP="00630943">
      <w:pPr>
        <w:rPr>
          <w:rFonts w:ascii="Cambria" w:hAnsi="Cambria"/>
        </w:rPr>
      </w:pPr>
      <w:r w:rsidRPr="006C39A5">
        <w:rPr>
          <w:rFonts w:ascii="Cambria" w:hAnsi="Cambria"/>
        </w:rPr>
        <w:t xml:space="preserve">The lower Tree Basal Area for both forest types are appropriate.  However, the upper Tree Basal Area for both Forest Types are too high.  Recent research by Malcolm North on “Carrying Capacity” in the Sierra Nevada indicates that at full carrying capacity, stands remain vulnerable to Natural Disturbance Agents (Wildfire, Insects and Disease and Drought).  Dr. North recommends a target of perhaps 2/3 of the carrying capacity would be appropriate.  That would indicate the upper range of “desired condition” </w:t>
      </w:r>
      <w:r w:rsidR="00601AA9" w:rsidRPr="006C39A5">
        <w:rPr>
          <w:rFonts w:ascii="Cambria" w:hAnsi="Cambria"/>
        </w:rPr>
        <w:t xml:space="preserve">for each type shown in the Table should be reduced by about 30 percent.  </w:t>
      </w:r>
    </w:p>
    <w:p w14:paraId="4D69BB94" w14:textId="788017BC" w:rsidR="00630943" w:rsidRPr="006C39A5" w:rsidRDefault="00630943" w:rsidP="00630943">
      <w:pPr>
        <w:rPr>
          <w:rFonts w:ascii="Cambria" w:hAnsi="Cambria"/>
          <w:sz w:val="28"/>
          <w:szCs w:val="28"/>
        </w:rPr>
      </w:pPr>
    </w:p>
    <w:p w14:paraId="651B8001" w14:textId="0F127C7D" w:rsidR="00D344C1" w:rsidRPr="006C39A5" w:rsidRDefault="00D344C1" w:rsidP="00D344C1">
      <w:pPr>
        <w:autoSpaceDE w:val="0"/>
        <w:autoSpaceDN w:val="0"/>
        <w:adjustRightInd w:val="0"/>
        <w:rPr>
          <w:rFonts w:ascii="Cambria" w:hAnsi="Cambria" w:cs="Calibri"/>
          <w:b/>
          <w:bCs/>
        </w:rPr>
      </w:pPr>
      <w:r w:rsidRPr="006C39A5">
        <w:rPr>
          <w:rFonts w:ascii="Cambria" w:hAnsi="Cambria" w:cs="Calibri-Bold"/>
          <w:b/>
          <w:bCs/>
        </w:rPr>
        <w:t xml:space="preserve">Table 4 (p. 11): </w:t>
      </w:r>
      <w:r w:rsidRPr="006C39A5">
        <w:rPr>
          <w:rFonts w:ascii="Cambria" w:hAnsi="Cambria" w:cs="Calibri"/>
          <w:b/>
          <w:bCs/>
        </w:rPr>
        <w:t xml:space="preserve">Diameter at breast height limitations, exemptions and other constraints pertaining to </w:t>
      </w:r>
      <w:r w:rsidR="008737A0" w:rsidRPr="006C39A5">
        <w:rPr>
          <w:rFonts w:ascii="Cambria" w:hAnsi="Cambria" w:cs="Calibri"/>
          <w:b/>
          <w:bCs/>
        </w:rPr>
        <w:t>variable density</w:t>
      </w:r>
      <w:r w:rsidRPr="006C39A5">
        <w:rPr>
          <w:rFonts w:ascii="Cambria" w:hAnsi="Cambria" w:cs="Calibri"/>
          <w:b/>
          <w:bCs/>
        </w:rPr>
        <w:t xml:space="preserve"> thinning treatments.</w:t>
      </w:r>
    </w:p>
    <w:p w14:paraId="4C034221" w14:textId="340CC634" w:rsidR="00D344C1" w:rsidRPr="006C39A5" w:rsidRDefault="00D344C1" w:rsidP="00D344C1">
      <w:pPr>
        <w:autoSpaceDE w:val="0"/>
        <w:autoSpaceDN w:val="0"/>
        <w:adjustRightInd w:val="0"/>
        <w:rPr>
          <w:rFonts w:ascii="Cambria" w:hAnsi="Cambria" w:cs="Calibri"/>
          <w:b/>
          <w:bCs/>
        </w:rPr>
      </w:pPr>
    </w:p>
    <w:p w14:paraId="691C870A" w14:textId="4992A715" w:rsidR="00D344C1" w:rsidRPr="006C39A5" w:rsidRDefault="00D344C1" w:rsidP="00D344C1">
      <w:pPr>
        <w:autoSpaceDE w:val="0"/>
        <w:autoSpaceDN w:val="0"/>
        <w:adjustRightInd w:val="0"/>
        <w:rPr>
          <w:rFonts w:ascii="Cambria" w:hAnsi="Cambria" w:cs="Calibri"/>
        </w:rPr>
      </w:pPr>
      <w:r w:rsidRPr="006C39A5">
        <w:rPr>
          <w:rFonts w:ascii="Cambria" w:hAnsi="Cambria" w:cs="Calibri"/>
        </w:rPr>
        <w:t xml:space="preserve">Calforests does not believe diameter limits are appropriate to achieve the desired objective.  We would suggest directing that the largest on-site trees that contribute to the objective should be retained.  </w:t>
      </w:r>
    </w:p>
    <w:p w14:paraId="1A20BF00" w14:textId="754C2BD4" w:rsidR="00D344C1" w:rsidRPr="006C39A5" w:rsidRDefault="00D344C1" w:rsidP="00D344C1">
      <w:pPr>
        <w:autoSpaceDE w:val="0"/>
        <w:autoSpaceDN w:val="0"/>
        <w:adjustRightInd w:val="0"/>
        <w:rPr>
          <w:rFonts w:ascii="Cambria" w:hAnsi="Cambria" w:cs="Calibri"/>
        </w:rPr>
      </w:pPr>
    </w:p>
    <w:p w14:paraId="063A5323" w14:textId="65B34B64" w:rsidR="00D344C1" w:rsidRPr="006C39A5" w:rsidRDefault="00D344C1" w:rsidP="00D344C1">
      <w:pPr>
        <w:autoSpaceDE w:val="0"/>
        <w:autoSpaceDN w:val="0"/>
        <w:adjustRightInd w:val="0"/>
        <w:rPr>
          <w:rFonts w:ascii="Cambria" w:hAnsi="Cambria" w:cs="Calibri"/>
        </w:rPr>
      </w:pPr>
      <w:r w:rsidRPr="006C39A5">
        <w:rPr>
          <w:rFonts w:ascii="Cambria" w:hAnsi="Cambria" w:cs="Calibri"/>
        </w:rPr>
        <w:t xml:space="preserve">Calforests believes reducing overall tree density in the Protected Activity Centers (PACs) should be an objective.  Page 5 of the scoping document states that </w:t>
      </w:r>
      <w:r w:rsidR="003A6012" w:rsidRPr="006C39A5">
        <w:rPr>
          <w:rFonts w:ascii="Cambria" w:hAnsi="Cambria" w:cs="Calibri"/>
        </w:rPr>
        <w:t xml:space="preserve">“between 2014 and 2017 . . . </w:t>
      </w:r>
      <w:r w:rsidRPr="006C39A5">
        <w:rPr>
          <w:rFonts w:ascii="Cambria" w:hAnsi="Cambria"/>
        </w:rPr>
        <w:t>55</w:t>
      </w:r>
      <w:r w:rsidR="003A6012" w:rsidRPr="006C39A5">
        <w:rPr>
          <w:rFonts w:ascii="Cambria" w:hAnsi="Cambria"/>
        </w:rPr>
        <w:t xml:space="preserve"> percent</w:t>
      </w:r>
      <w:r w:rsidRPr="006C39A5">
        <w:rPr>
          <w:rFonts w:ascii="Cambria" w:hAnsi="Cambria"/>
        </w:rPr>
        <w:t xml:space="preserve"> of the Owl PACs on the Stanislaus, Sierra and Sequoia National Forests have seen on average 20 trees/acre, mostly of larger diameter, killed due to tree mortality.</w:t>
      </w:r>
      <w:r w:rsidR="003A6012" w:rsidRPr="006C39A5">
        <w:rPr>
          <w:rFonts w:ascii="Cambria" w:hAnsi="Cambria"/>
        </w:rPr>
        <w:t>”</w:t>
      </w:r>
      <w:r w:rsidRPr="006C39A5">
        <w:rPr>
          <w:rFonts w:ascii="Cambria" w:hAnsi="Cambria"/>
        </w:rPr>
        <w:t xml:space="preserve">  Calforests suspects most of this mortality is because of vegetative density exceeding the carrying capacity of the site.</w:t>
      </w:r>
    </w:p>
    <w:p w14:paraId="107CF32E" w14:textId="77777777" w:rsidR="00D344C1" w:rsidRPr="006C39A5" w:rsidRDefault="00D344C1" w:rsidP="00630943">
      <w:pPr>
        <w:rPr>
          <w:rFonts w:ascii="Cambria" w:hAnsi="Cambria"/>
          <w:sz w:val="28"/>
          <w:szCs w:val="28"/>
        </w:rPr>
      </w:pPr>
    </w:p>
    <w:p w14:paraId="6C4E0C8E" w14:textId="77777777" w:rsidR="00630943" w:rsidRPr="006C39A5" w:rsidRDefault="00630943" w:rsidP="0013440E">
      <w:pPr>
        <w:pStyle w:val="ListParagraph"/>
        <w:numPr>
          <w:ilvl w:val="0"/>
          <w:numId w:val="5"/>
        </w:numPr>
        <w:spacing w:after="0" w:line="240" w:lineRule="auto"/>
        <w:ind w:left="360"/>
        <w:contextualSpacing w:val="0"/>
        <w:rPr>
          <w:rFonts w:ascii="Cambria" w:eastAsia="Times New Roman" w:hAnsi="Cambria"/>
          <w:b/>
          <w:bCs/>
          <w:sz w:val="24"/>
          <w:szCs w:val="24"/>
        </w:rPr>
      </w:pPr>
      <w:r w:rsidRPr="006C39A5">
        <w:rPr>
          <w:rFonts w:ascii="Cambria" w:eastAsia="Times New Roman" w:hAnsi="Cambria"/>
          <w:b/>
          <w:bCs/>
          <w:sz w:val="24"/>
          <w:szCs w:val="24"/>
        </w:rPr>
        <w:t>Fuelbreaks, Prepared Strategic Roadsides, and Defensible Space</w:t>
      </w:r>
    </w:p>
    <w:p w14:paraId="561AC409" w14:textId="139B70C4" w:rsidR="001C2093" w:rsidRPr="006C39A5" w:rsidRDefault="00630943" w:rsidP="0013440E">
      <w:pPr>
        <w:autoSpaceDE w:val="0"/>
        <w:autoSpaceDN w:val="0"/>
        <w:rPr>
          <w:rFonts w:ascii="Cambria" w:hAnsi="Cambria"/>
        </w:rPr>
      </w:pPr>
      <w:r w:rsidRPr="006C39A5">
        <w:rPr>
          <w:rFonts w:ascii="Cambria" w:hAnsi="Cambria"/>
        </w:rPr>
        <w:t>P. 1</w:t>
      </w:r>
      <w:r w:rsidR="001C2093" w:rsidRPr="006C39A5">
        <w:rPr>
          <w:rFonts w:ascii="Cambria" w:hAnsi="Cambria"/>
        </w:rPr>
        <w:t>4</w:t>
      </w:r>
    </w:p>
    <w:p w14:paraId="243B9214" w14:textId="77777777" w:rsidR="001C2093" w:rsidRPr="006C39A5" w:rsidRDefault="001C2093" w:rsidP="0013440E">
      <w:pPr>
        <w:autoSpaceDE w:val="0"/>
        <w:autoSpaceDN w:val="0"/>
        <w:rPr>
          <w:rFonts w:ascii="Cambria" w:hAnsi="Cambria"/>
        </w:rPr>
      </w:pPr>
    </w:p>
    <w:p w14:paraId="50933FA9" w14:textId="133EADA3" w:rsidR="001C2093" w:rsidRPr="006C39A5" w:rsidRDefault="001C2093" w:rsidP="0013440E">
      <w:pPr>
        <w:autoSpaceDE w:val="0"/>
        <w:autoSpaceDN w:val="0"/>
        <w:rPr>
          <w:rFonts w:ascii="Cambria" w:hAnsi="Cambria"/>
        </w:rPr>
      </w:pPr>
      <w:r w:rsidRPr="006C39A5">
        <w:rPr>
          <w:rFonts w:ascii="Cambria" w:hAnsi="Cambria"/>
        </w:rPr>
        <w:t>Calforest</w:t>
      </w:r>
      <w:r w:rsidR="00D344C1" w:rsidRPr="006C39A5">
        <w:rPr>
          <w:rFonts w:ascii="Cambria" w:hAnsi="Cambria"/>
        </w:rPr>
        <w:t>s</w:t>
      </w:r>
      <w:r w:rsidRPr="006C39A5">
        <w:rPr>
          <w:rFonts w:ascii="Cambria" w:hAnsi="Cambria"/>
        </w:rPr>
        <w:t xml:space="preserve"> commends the Stanislaus Natl. Forest for incorporating Strategic and Roadside Fuelbreaks and fuelbreaks for defensible space.  However, we caution that a 30” diameter limit could lead to not being able to reduce the basal area sufficiently to create a functional fuelbreak.  We encourage that the direction simply be to retain the largest trees up to the desired basal area </w:t>
      </w:r>
      <w:r w:rsidR="008737A0" w:rsidRPr="006C39A5">
        <w:rPr>
          <w:rFonts w:ascii="Cambria" w:hAnsi="Cambria"/>
        </w:rPr>
        <w:t>to</w:t>
      </w:r>
      <w:r w:rsidRPr="006C39A5">
        <w:rPr>
          <w:rFonts w:ascii="Cambria" w:hAnsi="Cambria"/>
        </w:rPr>
        <w:t xml:space="preserve"> achieve the objective of a functional fuelbreak.</w:t>
      </w:r>
    </w:p>
    <w:p w14:paraId="0734CFCF" w14:textId="1014E862" w:rsidR="00D344C1" w:rsidRPr="006C39A5" w:rsidRDefault="00D344C1" w:rsidP="0013440E">
      <w:pPr>
        <w:autoSpaceDE w:val="0"/>
        <w:autoSpaceDN w:val="0"/>
        <w:rPr>
          <w:rFonts w:ascii="Cambria" w:hAnsi="Cambria"/>
        </w:rPr>
      </w:pPr>
    </w:p>
    <w:p w14:paraId="0D23A337" w14:textId="50EED7FB" w:rsidR="00D344C1" w:rsidRPr="006C39A5" w:rsidRDefault="00D344C1" w:rsidP="0013440E">
      <w:pPr>
        <w:autoSpaceDE w:val="0"/>
        <w:autoSpaceDN w:val="0"/>
        <w:rPr>
          <w:rFonts w:ascii="Cambria" w:hAnsi="Cambria"/>
        </w:rPr>
      </w:pPr>
      <w:r w:rsidRPr="006C39A5">
        <w:rPr>
          <w:rFonts w:ascii="Cambria" w:hAnsi="Cambria"/>
        </w:rPr>
        <w:lastRenderedPageBreak/>
        <w:t>Calforests believes an objective of a desired basal area would be useful for all fuelbreaks.  We find that a 50 square foot basal area for pine type and 70 square feet for mixed conifer approximate</w:t>
      </w:r>
      <w:r w:rsidR="006C39A5">
        <w:rPr>
          <w:rFonts w:ascii="Cambria" w:hAnsi="Cambria"/>
        </w:rPr>
        <w:t>s</w:t>
      </w:r>
      <w:r w:rsidRPr="006C39A5">
        <w:rPr>
          <w:rFonts w:ascii="Cambria" w:hAnsi="Cambria"/>
        </w:rPr>
        <w:t xml:space="preserve"> the desired condition.  </w:t>
      </w:r>
    </w:p>
    <w:p w14:paraId="1B3C1BBE" w14:textId="6C0108AF" w:rsidR="001C2093" w:rsidRPr="006C39A5" w:rsidRDefault="001C2093" w:rsidP="0013440E">
      <w:pPr>
        <w:autoSpaceDE w:val="0"/>
        <w:autoSpaceDN w:val="0"/>
        <w:rPr>
          <w:rFonts w:ascii="Cambria" w:hAnsi="Cambria"/>
          <w:sz w:val="28"/>
          <w:szCs w:val="28"/>
        </w:rPr>
      </w:pPr>
    </w:p>
    <w:p w14:paraId="3B53FA4B" w14:textId="77777777" w:rsidR="00630943" w:rsidRPr="006C39A5" w:rsidRDefault="00630943" w:rsidP="001C2093">
      <w:pPr>
        <w:autoSpaceDE w:val="0"/>
        <w:autoSpaceDN w:val="0"/>
        <w:ind w:left="360"/>
        <w:rPr>
          <w:rFonts w:ascii="Cambria" w:hAnsi="Cambria"/>
        </w:rPr>
      </w:pPr>
      <w:r w:rsidRPr="006C39A5">
        <w:rPr>
          <w:rFonts w:ascii="Cambria" w:hAnsi="Cambria"/>
          <w:b/>
          <w:bCs/>
        </w:rPr>
        <w:t>A.1 Inner Core</w:t>
      </w:r>
      <w:r w:rsidRPr="006C39A5">
        <w:rPr>
          <w:rFonts w:ascii="Cambria" w:hAnsi="Cambria"/>
        </w:rPr>
        <w:t xml:space="preserve"> (P. 16) </w:t>
      </w:r>
    </w:p>
    <w:p w14:paraId="1FB5D202" w14:textId="77777777" w:rsidR="00630943" w:rsidRPr="006C39A5" w:rsidRDefault="00630943" w:rsidP="00630943">
      <w:pPr>
        <w:autoSpaceDE w:val="0"/>
        <w:autoSpaceDN w:val="0"/>
        <w:rPr>
          <w:rFonts w:ascii="Cambria" w:hAnsi="Cambria"/>
        </w:rPr>
      </w:pPr>
    </w:p>
    <w:p w14:paraId="41F2F180" w14:textId="77777777" w:rsidR="006C39A5" w:rsidRDefault="00630943" w:rsidP="001C2093">
      <w:pPr>
        <w:autoSpaceDE w:val="0"/>
        <w:autoSpaceDN w:val="0"/>
        <w:ind w:left="360" w:right="810"/>
        <w:rPr>
          <w:rFonts w:ascii="Cambria" w:hAnsi="Cambria"/>
        </w:rPr>
      </w:pPr>
      <w:r w:rsidRPr="006C39A5">
        <w:rPr>
          <w:rFonts w:ascii="Cambria" w:hAnsi="Cambria"/>
        </w:rPr>
        <w:t>“. . .vegetation will be retained along roadsides to discourage unauthorized vehicle use off designated routes.</w:t>
      </w:r>
      <w:r w:rsidR="001C2093" w:rsidRPr="006C39A5">
        <w:rPr>
          <w:rFonts w:ascii="Cambria" w:hAnsi="Cambria"/>
        </w:rPr>
        <w:t>”</w:t>
      </w:r>
      <w:r w:rsidRPr="006C39A5">
        <w:rPr>
          <w:rFonts w:ascii="Cambria" w:hAnsi="Cambria"/>
        </w:rPr>
        <w:t xml:space="preserve">  </w:t>
      </w:r>
    </w:p>
    <w:p w14:paraId="2987BD0E" w14:textId="77777777" w:rsidR="006C39A5" w:rsidRDefault="006C39A5" w:rsidP="001C2093">
      <w:pPr>
        <w:autoSpaceDE w:val="0"/>
        <w:autoSpaceDN w:val="0"/>
        <w:ind w:left="360" w:right="810"/>
        <w:rPr>
          <w:rFonts w:ascii="Cambria" w:hAnsi="Cambria"/>
        </w:rPr>
      </w:pPr>
    </w:p>
    <w:p w14:paraId="1D466A80" w14:textId="2B518892" w:rsidR="00630943" w:rsidRPr="006C39A5" w:rsidRDefault="00630943" w:rsidP="001C2093">
      <w:pPr>
        <w:autoSpaceDE w:val="0"/>
        <w:autoSpaceDN w:val="0"/>
        <w:ind w:left="360" w:right="810"/>
        <w:rPr>
          <w:rFonts w:ascii="Cambria" w:hAnsi="Cambria"/>
        </w:rPr>
      </w:pPr>
      <w:r w:rsidRPr="006C39A5">
        <w:rPr>
          <w:rFonts w:ascii="Cambria" w:hAnsi="Cambria"/>
        </w:rPr>
        <w:t xml:space="preserve">This </w:t>
      </w:r>
      <w:r w:rsidR="001C2093" w:rsidRPr="006C39A5">
        <w:rPr>
          <w:rFonts w:ascii="Cambria" w:hAnsi="Cambria"/>
        </w:rPr>
        <w:t xml:space="preserve">direction </w:t>
      </w:r>
      <w:r w:rsidRPr="006C39A5">
        <w:rPr>
          <w:rFonts w:ascii="Cambria" w:hAnsi="Cambria"/>
        </w:rPr>
        <w:t xml:space="preserve">would not be compatible </w:t>
      </w:r>
      <w:r w:rsidR="001C2093" w:rsidRPr="006C39A5">
        <w:rPr>
          <w:rFonts w:ascii="Cambria" w:hAnsi="Cambria"/>
        </w:rPr>
        <w:t>with</w:t>
      </w:r>
      <w:r w:rsidRPr="006C39A5">
        <w:rPr>
          <w:rFonts w:ascii="Cambria" w:hAnsi="Cambria"/>
        </w:rPr>
        <w:t xml:space="preserve"> </w:t>
      </w:r>
      <w:r w:rsidR="001C2093" w:rsidRPr="006C39A5">
        <w:rPr>
          <w:rFonts w:ascii="Cambria" w:hAnsi="Cambria"/>
        </w:rPr>
        <w:t>creating</w:t>
      </w:r>
      <w:r w:rsidRPr="006C39A5">
        <w:rPr>
          <w:rFonts w:ascii="Cambria" w:hAnsi="Cambria"/>
        </w:rPr>
        <w:t xml:space="preserve"> a </w:t>
      </w:r>
      <w:r w:rsidR="001C2093" w:rsidRPr="006C39A5">
        <w:rPr>
          <w:rFonts w:ascii="Cambria" w:hAnsi="Cambria"/>
        </w:rPr>
        <w:t xml:space="preserve">functional roadside </w:t>
      </w:r>
      <w:r w:rsidRPr="006C39A5">
        <w:rPr>
          <w:rFonts w:ascii="Cambria" w:hAnsi="Cambria"/>
        </w:rPr>
        <w:t>fuelbreak that would provide safe</w:t>
      </w:r>
      <w:r w:rsidR="001C2093" w:rsidRPr="006C39A5">
        <w:rPr>
          <w:rFonts w:ascii="Cambria" w:hAnsi="Cambria"/>
        </w:rPr>
        <w:t xml:space="preserve"> public</w:t>
      </w:r>
      <w:r w:rsidRPr="006C39A5">
        <w:rPr>
          <w:rFonts w:ascii="Cambria" w:hAnsi="Cambria"/>
        </w:rPr>
        <w:t xml:space="preserve"> ingress/egress</w:t>
      </w:r>
      <w:r w:rsidR="001C2093" w:rsidRPr="006C39A5">
        <w:rPr>
          <w:rFonts w:ascii="Cambria" w:hAnsi="Cambria"/>
        </w:rPr>
        <w:t xml:space="preserve"> on an evacuation route</w:t>
      </w:r>
      <w:r w:rsidRPr="006C39A5">
        <w:rPr>
          <w:rFonts w:ascii="Cambria" w:hAnsi="Cambria"/>
        </w:rPr>
        <w:t xml:space="preserve"> and </w:t>
      </w:r>
      <w:r w:rsidR="001C2093" w:rsidRPr="006C39A5">
        <w:rPr>
          <w:rFonts w:ascii="Cambria" w:hAnsi="Cambria"/>
        </w:rPr>
        <w:t xml:space="preserve">safe direct attack </w:t>
      </w:r>
      <w:r w:rsidRPr="006C39A5">
        <w:rPr>
          <w:rFonts w:ascii="Cambria" w:hAnsi="Cambria"/>
        </w:rPr>
        <w:t>ground suppression.  Further, retaining vegetation next to a road creates an increased risk of a human-caused fire start</w:t>
      </w:r>
      <w:r w:rsidR="006C39A5">
        <w:rPr>
          <w:rFonts w:ascii="Cambria" w:hAnsi="Cambria"/>
        </w:rPr>
        <w:t>s</w:t>
      </w:r>
      <w:r w:rsidRPr="006C39A5">
        <w:rPr>
          <w:rFonts w:ascii="Cambria" w:hAnsi="Cambria"/>
        </w:rPr>
        <w:t>.  According to CalFire, about 95% of all fire starts in CA are human-caused and most are in close proximity of a road.</w:t>
      </w:r>
    </w:p>
    <w:p w14:paraId="317066D3" w14:textId="77777777" w:rsidR="00630943" w:rsidRPr="006C39A5" w:rsidRDefault="00630943" w:rsidP="00630943">
      <w:pPr>
        <w:autoSpaceDE w:val="0"/>
        <w:autoSpaceDN w:val="0"/>
        <w:rPr>
          <w:rFonts w:ascii="Cambria" w:hAnsi="Cambria"/>
          <w:sz w:val="28"/>
          <w:szCs w:val="28"/>
        </w:rPr>
      </w:pPr>
    </w:p>
    <w:p w14:paraId="40257A94" w14:textId="260F6B07" w:rsidR="00630943" w:rsidRPr="006C39A5" w:rsidRDefault="00630943" w:rsidP="00630943">
      <w:pPr>
        <w:autoSpaceDE w:val="0"/>
        <w:autoSpaceDN w:val="0"/>
        <w:rPr>
          <w:rFonts w:ascii="Cambria" w:hAnsi="Cambria"/>
        </w:rPr>
      </w:pPr>
      <w:r w:rsidRPr="006C39A5">
        <w:rPr>
          <w:rFonts w:ascii="Cambria" w:hAnsi="Cambria"/>
          <w:b/>
          <w:bCs/>
        </w:rPr>
        <w:t>S</w:t>
      </w:r>
      <w:r w:rsidR="001C2093" w:rsidRPr="006C39A5">
        <w:rPr>
          <w:rFonts w:ascii="Cambria" w:hAnsi="Cambria"/>
          <w:b/>
          <w:bCs/>
        </w:rPr>
        <w:t>tandard &amp; Guide</w:t>
      </w:r>
      <w:r w:rsidRPr="006C39A5">
        <w:rPr>
          <w:rFonts w:ascii="Cambria" w:hAnsi="Cambria"/>
          <w:b/>
          <w:bCs/>
        </w:rPr>
        <w:t xml:space="preserve"> 75 (p. 26)</w:t>
      </w:r>
      <w:r w:rsidRPr="006C39A5">
        <w:rPr>
          <w:rFonts w:ascii="Cambria" w:hAnsi="Cambria"/>
        </w:rPr>
        <w:t xml:space="preserve"> </w:t>
      </w:r>
      <w:r w:rsidR="008737A0" w:rsidRPr="006C39A5">
        <w:rPr>
          <w:rFonts w:ascii="Cambria" w:hAnsi="Cambria"/>
        </w:rPr>
        <w:t>– “0.25-mile</w:t>
      </w:r>
      <w:r w:rsidRPr="006C39A5">
        <w:rPr>
          <w:rFonts w:ascii="Cambria" w:hAnsi="Cambria"/>
        </w:rPr>
        <w:t xml:space="preserve"> buffer around active nest during the breeding season (March 1-August 15) should limit or prohibit mechanical harvest activities </w:t>
      </w:r>
      <w:r w:rsidR="008737A0" w:rsidRPr="006C39A5">
        <w:rPr>
          <w:rFonts w:ascii="Cambria" w:hAnsi="Cambria"/>
        </w:rPr>
        <w:t>that may</w:t>
      </w:r>
      <w:r w:rsidRPr="006C39A5">
        <w:rPr>
          <w:rFonts w:ascii="Cambria" w:hAnsi="Cambria"/>
        </w:rPr>
        <w:t xml:space="preserve"> disturb breeding owls.”  This sentence should be changed to also limit or prohibit </w:t>
      </w:r>
      <w:r w:rsidRPr="006C39A5">
        <w:rPr>
          <w:rFonts w:ascii="Cambria" w:hAnsi="Cambria"/>
          <w:b/>
          <w:bCs/>
          <w:u w:val="single"/>
        </w:rPr>
        <w:t>“hand thinning”</w:t>
      </w:r>
      <w:r w:rsidR="001C2093" w:rsidRPr="006C39A5">
        <w:rPr>
          <w:rFonts w:ascii="Cambria" w:hAnsi="Cambria"/>
          <w:b/>
          <w:bCs/>
          <w:u w:val="single"/>
        </w:rPr>
        <w:t xml:space="preserve"> </w:t>
      </w:r>
      <w:r w:rsidR="001C2093" w:rsidRPr="006C39A5">
        <w:rPr>
          <w:rFonts w:ascii="Cambria" w:hAnsi="Cambria"/>
        </w:rPr>
        <w:t>(noise from chainsaws)</w:t>
      </w:r>
      <w:r w:rsidRPr="006C39A5">
        <w:rPr>
          <w:rFonts w:ascii="Cambria" w:hAnsi="Cambria"/>
          <w:b/>
          <w:bCs/>
          <w:u w:val="single"/>
        </w:rPr>
        <w:t xml:space="preserve"> </w:t>
      </w:r>
      <w:r w:rsidRPr="006C39A5">
        <w:rPr>
          <w:rFonts w:ascii="Cambria" w:hAnsi="Cambria"/>
        </w:rPr>
        <w:t xml:space="preserve">March 1-August 15.  </w:t>
      </w:r>
    </w:p>
    <w:p w14:paraId="78DC5601" w14:textId="31DAB037" w:rsidR="00630943" w:rsidRPr="006C39A5" w:rsidRDefault="00630943" w:rsidP="00630943">
      <w:pPr>
        <w:rPr>
          <w:rFonts w:ascii="Cambria" w:hAnsi="Cambria"/>
        </w:rPr>
      </w:pPr>
    </w:p>
    <w:p w14:paraId="2DA70C04" w14:textId="26811DCD" w:rsidR="001C2093" w:rsidRPr="006C39A5" w:rsidRDefault="001C2093" w:rsidP="00630943">
      <w:pPr>
        <w:rPr>
          <w:rFonts w:ascii="Cambria" w:hAnsi="Cambria"/>
        </w:rPr>
      </w:pPr>
      <w:r w:rsidRPr="006C39A5">
        <w:rPr>
          <w:rFonts w:ascii="Cambria" w:hAnsi="Cambria"/>
        </w:rPr>
        <w:t>CalForest greatly appreciated the opportunity to comment and hope our comments will provide additional strengthening of a proposed action that will move the landscape toward a desired condition.</w:t>
      </w:r>
    </w:p>
    <w:p w14:paraId="41783F97" w14:textId="77777777" w:rsidR="001C2093" w:rsidRDefault="001C2093" w:rsidP="00630943"/>
    <w:p w14:paraId="37DC6730" w14:textId="77777777" w:rsidR="00630943" w:rsidRPr="00C54FB8" w:rsidRDefault="00630943" w:rsidP="00630943">
      <w:pPr>
        <w:rPr>
          <w:rFonts w:ascii="Cambria" w:hAnsi="Cambria"/>
        </w:rPr>
      </w:pPr>
      <w:r w:rsidRPr="00C54FB8">
        <w:rPr>
          <w:rFonts w:ascii="Cambria" w:hAnsi="Cambria"/>
        </w:rPr>
        <w:t>Sincerely,</w:t>
      </w:r>
    </w:p>
    <w:p w14:paraId="58F3C9A3" w14:textId="54891980" w:rsidR="00630943" w:rsidRDefault="00630943" w:rsidP="00630943"/>
    <w:p w14:paraId="1B8B4550" w14:textId="77777777" w:rsidR="00630943" w:rsidRDefault="00630943" w:rsidP="00630943"/>
    <w:p w14:paraId="1EAE541B" w14:textId="69FF507D" w:rsidR="0048731B" w:rsidRPr="0048731B" w:rsidRDefault="00630943" w:rsidP="0048731B">
      <w:pPr>
        <w:rPr>
          <w:b/>
          <w:bCs/>
          <w:i/>
          <w:iCs/>
          <w:sz w:val="28"/>
          <w:szCs w:val="28"/>
        </w:rPr>
      </w:pPr>
      <w:r w:rsidRPr="0048731B">
        <w:rPr>
          <w:rFonts w:ascii="Cambria" w:hAnsi="Cambria"/>
          <w:b/>
          <w:bCs/>
          <w:i/>
          <w:iCs/>
        </w:rPr>
        <w:t>STEVEN A. BRINK</w:t>
      </w:r>
      <w:r w:rsidR="0048731B">
        <w:rPr>
          <w:rFonts w:ascii="Cambria" w:hAnsi="Cambria"/>
        </w:rPr>
        <w:tab/>
      </w:r>
      <w:r w:rsidR="0048731B">
        <w:rPr>
          <w:rFonts w:ascii="Cambria" w:hAnsi="Cambria"/>
        </w:rPr>
        <w:tab/>
      </w:r>
      <w:r w:rsidR="0048731B">
        <w:rPr>
          <w:rFonts w:ascii="Cambria" w:hAnsi="Cambria"/>
        </w:rPr>
        <w:tab/>
      </w:r>
      <w:r w:rsidR="0048731B">
        <w:rPr>
          <w:rFonts w:ascii="Cambria" w:hAnsi="Cambria"/>
        </w:rPr>
        <w:tab/>
      </w:r>
      <w:r w:rsidR="0048731B">
        <w:rPr>
          <w:rFonts w:ascii="Cambria" w:hAnsi="Cambria"/>
        </w:rPr>
        <w:tab/>
      </w:r>
      <w:r w:rsidR="0048731B">
        <w:rPr>
          <w:b/>
          <w:bCs/>
          <w:i/>
          <w:iCs/>
          <w:sz w:val="28"/>
          <w:szCs w:val="28"/>
        </w:rPr>
        <w:t>Eric Carleson</w:t>
      </w:r>
    </w:p>
    <w:p w14:paraId="48EED266" w14:textId="20DD466F" w:rsidR="00630943" w:rsidRPr="006C39A5" w:rsidRDefault="00630943" w:rsidP="00630943">
      <w:pPr>
        <w:rPr>
          <w:rFonts w:ascii="Cambria" w:hAnsi="Cambria"/>
        </w:rPr>
      </w:pPr>
    </w:p>
    <w:p w14:paraId="565C2E41" w14:textId="13D6EC0C" w:rsidR="0048731B" w:rsidRDefault="00630943" w:rsidP="00630943">
      <w:pPr>
        <w:rPr>
          <w:rFonts w:ascii="Cambria" w:hAnsi="Cambria"/>
        </w:rPr>
      </w:pPr>
      <w:r w:rsidRPr="006C39A5">
        <w:rPr>
          <w:rFonts w:ascii="Cambria" w:hAnsi="Cambria"/>
        </w:rPr>
        <w:t>Vice-President – Public Resources</w:t>
      </w:r>
      <w:r w:rsidR="0048731B">
        <w:rPr>
          <w:rFonts w:ascii="Cambria" w:hAnsi="Cambria"/>
        </w:rPr>
        <w:tab/>
      </w:r>
      <w:r w:rsidR="0048731B">
        <w:rPr>
          <w:rFonts w:ascii="Cambria" w:hAnsi="Cambria"/>
        </w:rPr>
        <w:tab/>
      </w:r>
      <w:r w:rsidR="0048731B">
        <w:rPr>
          <w:rFonts w:ascii="Cambria" w:hAnsi="Cambria"/>
        </w:rPr>
        <w:tab/>
        <w:t>Executive Director</w:t>
      </w:r>
    </w:p>
    <w:p w14:paraId="0D0A5FB6" w14:textId="3103FE5E" w:rsidR="00630943" w:rsidRPr="006C39A5" w:rsidRDefault="0048731B" w:rsidP="00630943">
      <w:pPr>
        <w:rPr>
          <w:rFonts w:ascii="Cambria" w:hAnsi="Cambria"/>
        </w:rPr>
      </w:pPr>
      <w:r>
        <w:rPr>
          <w:rFonts w:ascii="Cambria" w:hAnsi="Cambria"/>
        </w:rPr>
        <w:t>California Forestry Association</w:t>
      </w:r>
      <w:r>
        <w:rPr>
          <w:rFonts w:ascii="Cambria" w:hAnsi="Cambria"/>
        </w:rPr>
        <w:tab/>
      </w:r>
      <w:r>
        <w:rPr>
          <w:rFonts w:ascii="Cambria" w:hAnsi="Cambria"/>
        </w:rPr>
        <w:tab/>
      </w:r>
      <w:r>
        <w:rPr>
          <w:rFonts w:ascii="Cambria" w:hAnsi="Cambria"/>
        </w:rPr>
        <w:tab/>
        <w:t>Associated California Loggers</w:t>
      </w:r>
    </w:p>
    <w:p w14:paraId="6206759F" w14:textId="77777777" w:rsidR="00630943" w:rsidRPr="006C39A5" w:rsidRDefault="00630943" w:rsidP="00630943">
      <w:pPr>
        <w:rPr>
          <w:rFonts w:ascii="Cambria" w:hAnsi="Cambria"/>
        </w:rPr>
      </w:pPr>
      <w:r w:rsidRPr="006C39A5">
        <w:rPr>
          <w:rFonts w:ascii="Cambria" w:hAnsi="Cambria"/>
        </w:rPr>
        <w:t>916-208-2425</w:t>
      </w:r>
    </w:p>
    <w:p w14:paraId="2CDB50EB" w14:textId="77777777" w:rsidR="00630943" w:rsidRPr="006C39A5" w:rsidRDefault="000F35E6" w:rsidP="00630943">
      <w:pPr>
        <w:rPr>
          <w:rFonts w:ascii="Cambria" w:hAnsi="Cambria"/>
        </w:rPr>
      </w:pPr>
      <w:hyperlink r:id="rId11" w:history="1">
        <w:r w:rsidR="00630943" w:rsidRPr="006C39A5">
          <w:rPr>
            <w:rStyle w:val="Hyperlink"/>
            <w:rFonts w:ascii="Cambria" w:hAnsi="Cambria"/>
          </w:rPr>
          <w:t>steveb@calforests.org</w:t>
        </w:r>
      </w:hyperlink>
      <w:r w:rsidR="00630943" w:rsidRPr="006C39A5">
        <w:rPr>
          <w:rFonts w:ascii="Cambria" w:hAnsi="Cambria"/>
        </w:rPr>
        <w:t xml:space="preserve"> </w:t>
      </w:r>
    </w:p>
    <w:p w14:paraId="3B643B65" w14:textId="02BFB61D" w:rsidR="00630943" w:rsidRDefault="00630943" w:rsidP="008F2441">
      <w:pPr>
        <w:rPr>
          <w:rFonts w:ascii="Cambria" w:hAnsi="Cambria"/>
        </w:rPr>
      </w:pPr>
    </w:p>
    <w:p w14:paraId="37A12B51" w14:textId="77777777" w:rsidR="0048731B" w:rsidRPr="0048731B" w:rsidRDefault="0048731B" w:rsidP="0048731B">
      <w:pPr>
        <w:pStyle w:val="BodyText"/>
        <w:spacing w:line="276" w:lineRule="auto"/>
        <w:rPr>
          <w:rFonts w:ascii="Cambria" w:hAnsi="Cambria"/>
          <w:b/>
          <w:bCs/>
          <w:i/>
          <w:iCs/>
          <w:sz w:val="24"/>
          <w:szCs w:val="24"/>
        </w:rPr>
      </w:pPr>
      <w:r w:rsidRPr="0048731B">
        <w:rPr>
          <w:rFonts w:ascii="Cambria" w:hAnsi="Cambria"/>
          <w:b/>
          <w:bCs/>
          <w:i/>
          <w:iCs/>
          <w:sz w:val="24"/>
          <w:szCs w:val="24"/>
        </w:rPr>
        <w:t>Andy Geissler</w:t>
      </w:r>
    </w:p>
    <w:p w14:paraId="3D0782DD" w14:textId="77777777" w:rsidR="0048731B" w:rsidRPr="0048731B" w:rsidRDefault="0048731B" w:rsidP="0048731B">
      <w:pPr>
        <w:pStyle w:val="BodyText"/>
        <w:spacing w:line="276" w:lineRule="auto"/>
        <w:rPr>
          <w:rFonts w:ascii="Cambria" w:hAnsi="Cambria"/>
          <w:sz w:val="24"/>
          <w:szCs w:val="24"/>
        </w:rPr>
      </w:pPr>
      <w:r w:rsidRPr="0048731B">
        <w:rPr>
          <w:rFonts w:ascii="Cambria" w:hAnsi="Cambria"/>
          <w:sz w:val="24"/>
          <w:szCs w:val="24"/>
        </w:rPr>
        <w:t>Federal Timber Program Director</w:t>
      </w:r>
    </w:p>
    <w:p w14:paraId="64343A37" w14:textId="77777777" w:rsidR="0048731B" w:rsidRPr="0048731B" w:rsidRDefault="0048731B" w:rsidP="0048731B">
      <w:pPr>
        <w:pStyle w:val="BodyText"/>
        <w:spacing w:line="276" w:lineRule="auto"/>
        <w:rPr>
          <w:rFonts w:ascii="Cambria" w:hAnsi="Cambria"/>
          <w:sz w:val="24"/>
          <w:szCs w:val="24"/>
        </w:rPr>
      </w:pPr>
      <w:r w:rsidRPr="0048731B">
        <w:rPr>
          <w:rFonts w:ascii="Cambria" w:hAnsi="Cambria"/>
          <w:sz w:val="24"/>
          <w:szCs w:val="24"/>
        </w:rPr>
        <w:t>American Forest Resource Council</w:t>
      </w:r>
    </w:p>
    <w:p w14:paraId="76F5203A" w14:textId="77777777" w:rsidR="0048731B" w:rsidRDefault="0048731B" w:rsidP="008F2441">
      <w:pPr>
        <w:rPr>
          <w:rFonts w:ascii="Cambria" w:hAnsi="Cambria"/>
        </w:rPr>
      </w:pPr>
    </w:p>
    <w:p w14:paraId="0690A0DC" w14:textId="7C2D752C" w:rsidR="004F7637" w:rsidRPr="006C39A5" w:rsidRDefault="004F7637" w:rsidP="008F2441">
      <w:pPr>
        <w:rPr>
          <w:rFonts w:ascii="Cambria" w:hAnsi="Cambria"/>
        </w:rPr>
      </w:pPr>
      <w:r w:rsidRPr="006C39A5">
        <w:rPr>
          <w:rFonts w:ascii="Cambria" w:hAnsi="Cambria"/>
        </w:rPr>
        <w:lastRenderedPageBreak/>
        <w:t>Enclosure:</w:t>
      </w:r>
    </w:p>
    <w:p w14:paraId="40B061EA" w14:textId="49A92899" w:rsidR="004F7637" w:rsidRDefault="004F7637" w:rsidP="008F2441"/>
    <w:p w14:paraId="27148A01" w14:textId="77777777" w:rsidR="008737A0" w:rsidRDefault="004F7637" w:rsidP="008737A0">
      <w:pPr>
        <w:pStyle w:val="ListParagraph"/>
        <w:numPr>
          <w:ilvl w:val="0"/>
          <w:numId w:val="6"/>
        </w:numPr>
      </w:pPr>
      <w:r>
        <w:t>Stanislaus Natl. Forest Westcore Data Table Information for Productive Forest land Not Reserved (Data Source is permanent plots on the Stanislaus Natl. Forest of the Forest Inventory &amp; Analysis Program (FIA) from 2005.</w:t>
      </w:r>
    </w:p>
    <w:p w14:paraId="62CB5D2B" w14:textId="77777777" w:rsidR="008737A0" w:rsidRPr="008737A0" w:rsidRDefault="008737A0" w:rsidP="008737A0">
      <w:pPr>
        <w:ind w:left="360"/>
        <w:rPr>
          <w:b/>
          <w:bCs/>
        </w:rPr>
      </w:pPr>
      <w:r w:rsidRPr="002D0130">
        <w:rPr>
          <w:rFonts w:ascii="Arial" w:eastAsia="Times New Roman" w:hAnsi="Arial" w:cs="Arial"/>
          <w:b/>
          <w:bCs/>
          <w:sz w:val="20"/>
          <w:szCs w:val="20"/>
        </w:rPr>
        <w:t>Net Growth, Annual Mortality, &amp; 20</w:t>
      </w:r>
      <w:r w:rsidRPr="008737A0">
        <w:rPr>
          <w:rFonts w:ascii="Arial" w:eastAsia="Times New Roman" w:hAnsi="Arial" w:cs="Arial"/>
          <w:b/>
          <w:bCs/>
          <w:sz w:val="20"/>
          <w:szCs w:val="20"/>
        </w:rPr>
        <w:t>06-2019 Avg.</w:t>
      </w:r>
      <w:r w:rsidRPr="002D0130">
        <w:rPr>
          <w:rFonts w:ascii="Arial" w:eastAsia="Times New Roman" w:hAnsi="Arial" w:cs="Arial"/>
          <w:b/>
          <w:bCs/>
          <w:sz w:val="20"/>
          <w:szCs w:val="20"/>
        </w:rPr>
        <w:t xml:space="preserve"> Sold Volume for Stanislaus Natl.</w:t>
      </w:r>
      <w:r w:rsidRPr="008737A0">
        <w:rPr>
          <w:rFonts w:ascii="Arial" w:eastAsia="Times New Roman" w:hAnsi="Arial" w:cs="Arial"/>
          <w:b/>
          <w:bCs/>
          <w:sz w:val="20"/>
          <w:szCs w:val="20"/>
        </w:rPr>
        <w:t xml:space="preserve"> </w:t>
      </w:r>
      <w:r w:rsidRPr="002D0130">
        <w:rPr>
          <w:rFonts w:ascii="Arial" w:eastAsia="Times New Roman" w:hAnsi="Arial" w:cs="Arial"/>
          <w:b/>
          <w:bCs/>
          <w:sz w:val="20"/>
          <w:szCs w:val="20"/>
        </w:rPr>
        <w:t>Forest</w:t>
      </w:r>
      <w:r w:rsidRPr="008737A0">
        <w:rPr>
          <w:b/>
          <w:bCs/>
        </w:rPr>
        <w:t xml:space="preserve"> </w:t>
      </w:r>
    </w:p>
    <w:tbl>
      <w:tblPr>
        <w:tblW w:w="9542" w:type="dxa"/>
        <w:tblLook w:val="04A0" w:firstRow="1" w:lastRow="0" w:firstColumn="1" w:lastColumn="0" w:noHBand="0" w:noVBand="1"/>
      </w:tblPr>
      <w:tblGrid>
        <w:gridCol w:w="7094"/>
        <w:gridCol w:w="1557"/>
        <w:gridCol w:w="891"/>
      </w:tblGrid>
      <w:tr w:rsidR="004F7637" w:rsidRPr="002D0130" w14:paraId="571E040D" w14:textId="77777777" w:rsidTr="002A30A6">
        <w:trPr>
          <w:trHeight w:val="260"/>
        </w:trPr>
        <w:tc>
          <w:tcPr>
            <w:tcW w:w="9542" w:type="dxa"/>
            <w:gridSpan w:val="3"/>
            <w:tcBorders>
              <w:top w:val="nil"/>
              <w:left w:val="nil"/>
              <w:bottom w:val="nil"/>
              <w:right w:val="nil"/>
            </w:tcBorders>
            <w:shd w:val="clear" w:color="auto" w:fill="auto"/>
            <w:noWrap/>
            <w:vAlign w:val="bottom"/>
            <w:hideMark/>
          </w:tcPr>
          <w:p w14:paraId="559F30BF" w14:textId="2EC238A7" w:rsidR="004F7637" w:rsidRPr="002D0130" w:rsidRDefault="008737A0" w:rsidP="008737A0">
            <w:pPr>
              <w:ind w:left="340"/>
              <w:rPr>
                <w:rFonts w:ascii="Arial" w:eastAsia="Times New Roman" w:hAnsi="Arial" w:cs="Arial"/>
                <w:b/>
                <w:bCs/>
                <w:sz w:val="20"/>
                <w:szCs w:val="20"/>
              </w:rPr>
            </w:pPr>
            <w:r w:rsidRPr="002D0130">
              <w:rPr>
                <w:rFonts w:ascii="Arial" w:eastAsia="Times New Roman" w:hAnsi="Arial" w:cs="Arial"/>
                <w:b/>
                <w:bCs/>
                <w:sz w:val="20"/>
                <w:szCs w:val="20"/>
              </w:rPr>
              <w:t xml:space="preserve"> </w:t>
            </w:r>
            <w:r w:rsidR="004F7637" w:rsidRPr="002D0130">
              <w:rPr>
                <w:rFonts w:ascii="Arial" w:eastAsia="Times New Roman" w:hAnsi="Arial" w:cs="Arial"/>
                <w:b/>
                <w:bCs/>
                <w:sz w:val="20"/>
                <w:szCs w:val="20"/>
              </w:rPr>
              <w:t>(Data Source: www.fs.fed.us/r5/rsl/publications/westcore/ &amp; 2006-2019 Cut &amp; Sold Reports)</w:t>
            </w:r>
          </w:p>
        </w:tc>
      </w:tr>
      <w:tr w:rsidR="004F7637" w:rsidRPr="002D0130" w14:paraId="777E4252"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358E3972"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(Data from growing stock on available, productive forestland</w:t>
            </w:r>
            <w:r>
              <w:rPr>
                <w:rFonts w:ascii="Arial" w:eastAsia="Times New Roman" w:hAnsi="Arial" w:cs="Arial"/>
                <w:b/>
                <w:bCs/>
                <w:sz w:val="20"/>
                <w:szCs w:val="20"/>
              </w:rPr>
              <w:t xml:space="preserve"> Westcore Data Tables</w:t>
            </w:r>
          </w:p>
        </w:tc>
        <w:tc>
          <w:tcPr>
            <w:tcW w:w="1217" w:type="dxa"/>
            <w:tcBorders>
              <w:top w:val="nil"/>
              <w:left w:val="nil"/>
              <w:bottom w:val="nil"/>
              <w:right w:val="nil"/>
            </w:tcBorders>
            <w:shd w:val="clear" w:color="auto" w:fill="auto"/>
            <w:noWrap/>
            <w:vAlign w:val="bottom"/>
            <w:hideMark/>
          </w:tcPr>
          <w:p w14:paraId="2C3E9246" w14:textId="77777777" w:rsidR="004F7637" w:rsidRPr="002D0130" w:rsidRDefault="004F7637" w:rsidP="008737A0">
            <w:pPr>
              <w:ind w:left="340"/>
              <w:rPr>
                <w:rFonts w:ascii="Arial" w:eastAsia="Times New Roman" w:hAnsi="Arial" w:cs="Arial"/>
                <w:b/>
                <w:bCs/>
                <w:sz w:val="20"/>
                <w:szCs w:val="20"/>
              </w:rPr>
            </w:pPr>
          </w:p>
        </w:tc>
      </w:tr>
      <w:tr w:rsidR="004F7637" w:rsidRPr="002D0130" w14:paraId="7D678613" w14:textId="77777777" w:rsidTr="004F7637">
        <w:trPr>
          <w:gridAfter w:val="1"/>
          <w:wAfter w:w="1231" w:type="dxa"/>
          <w:trHeight w:val="250"/>
        </w:trPr>
        <w:tc>
          <w:tcPr>
            <w:tcW w:w="7094" w:type="dxa"/>
            <w:tcBorders>
              <w:top w:val="nil"/>
              <w:left w:val="nil"/>
              <w:bottom w:val="nil"/>
              <w:right w:val="nil"/>
            </w:tcBorders>
            <w:shd w:val="clear" w:color="auto" w:fill="auto"/>
            <w:noWrap/>
            <w:vAlign w:val="bottom"/>
            <w:hideMark/>
          </w:tcPr>
          <w:p w14:paraId="41C33B26" w14:textId="77777777" w:rsidR="004F7637" w:rsidRPr="002D0130" w:rsidRDefault="004F7637" w:rsidP="008737A0">
            <w:pPr>
              <w:ind w:left="340"/>
              <w:rPr>
                <w:rFonts w:ascii="Arial" w:eastAsia="Times New Roman" w:hAnsi="Arial" w:cs="Arial"/>
                <w:sz w:val="20"/>
                <w:szCs w:val="20"/>
              </w:rPr>
            </w:pPr>
            <w:r w:rsidRPr="002D0130">
              <w:rPr>
                <w:rFonts w:ascii="Arial" w:eastAsia="Times New Roman" w:hAnsi="Arial" w:cs="Arial"/>
                <w:sz w:val="20"/>
                <w:szCs w:val="20"/>
              </w:rPr>
              <w:t>by Steve Brink, 8/24/2012</w:t>
            </w:r>
          </w:p>
        </w:tc>
        <w:tc>
          <w:tcPr>
            <w:tcW w:w="1217" w:type="dxa"/>
            <w:tcBorders>
              <w:top w:val="nil"/>
              <w:left w:val="nil"/>
              <w:bottom w:val="nil"/>
              <w:right w:val="nil"/>
            </w:tcBorders>
            <w:shd w:val="clear" w:color="auto" w:fill="auto"/>
            <w:noWrap/>
            <w:vAlign w:val="bottom"/>
            <w:hideMark/>
          </w:tcPr>
          <w:p w14:paraId="79C10847" w14:textId="77777777" w:rsidR="004F7637" w:rsidRPr="002D0130" w:rsidRDefault="004F7637" w:rsidP="008737A0">
            <w:pPr>
              <w:ind w:left="340"/>
              <w:rPr>
                <w:rFonts w:ascii="Arial" w:eastAsia="Times New Roman" w:hAnsi="Arial" w:cs="Arial"/>
                <w:sz w:val="20"/>
                <w:szCs w:val="20"/>
              </w:rPr>
            </w:pPr>
          </w:p>
        </w:tc>
      </w:tr>
      <w:tr w:rsidR="004F7637" w:rsidRPr="002D0130" w14:paraId="01354F70"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078F7187" w14:textId="77777777" w:rsidR="004F7637" w:rsidRPr="002D0130" w:rsidRDefault="004F7637" w:rsidP="008737A0">
            <w:pPr>
              <w:ind w:left="340"/>
              <w:rPr>
                <w:rFonts w:ascii="Times New Roman" w:eastAsia="Times New Roman" w:hAnsi="Times New Roman" w:cs="Times New Roman"/>
                <w:sz w:val="20"/>
                <w:szCs w:val="20"/>
              </w:rPr>
            </w:pPr>
          </w:p>
        </w:tc>
        <w:tc>
          <w:tcPr>
            <w:tcW w:w="1217" w:type="dxa"/>
            <w:tcBorders>
              <w:top w:val="nil"/>
              <w:left w:val="nil"/>
              <w:bottom w:val="nil"/>
              <w:right w:val="nil"/>
            </w:tcBorders>
            <w:shd w:val="clear" w:color="auto" w:fill="auto"/>
            <w:noWrap/>
            <w:vAlign w:val="bottom"/>
            <w:hideMark/>
          </w:tcPr>
          <w:p w14:paraId="25030DCE" w14:textId="77777777" w:rsidR="004F7637" w:rsidRPr="002D0130" w:rsidRDefault="004F7637" w:rsidP="008737A0">
            <w:pPr>
              <w:ind w:left="340"/>
              <w:rPr>
                <w:rFonts w:ascii="Arial" w:eastAsia="Times New Roman" w:hAnsi="Arial" w:cs="Arial"/>
                <w:sz w:val="20"/>
                <w:szCs w:val="20"/>
              </w:rPr>
            </w:pPr>
            <w:r w:rsidRPr="002D0130">
              <w:rPr>
                <w:rFonts w:ascii="Arial" w:eastAsia="Times New Roman" w:hAnsi="Arial" w:cs="Arial"/>
                <w:sz w:val="20"/>
                <w:szCs w:val="20"/>
              </w:rPr>
              <w:t xml:space="preserve"> </w:t>
            </w:r>
          </w:p>
        </w:tc>
      </w:tr>
      <w:tr w:rsidR="004F7637" w:rsidRPr="002D0130" w14:paraId="07637ADC"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7535269E" w14:textId="77777777" w:rsidR="004F7637" w:rsidRPr="002D0130" w:rsidRDefault="004F7637" w:rsidP="008737A0">
            <w:pPr>
              <w:ind w:left="340"/>
              <w:rPr>
                <w:rFonts w:ascii="Times New Roman" w:eastAsia="Times New Roman" w:hAnsi="Times New Roman" w:cs="Times New Roman"/>
                <w:sz w:val="20"/>
                <w:szCs w:val="20"/>
              </w:rPr>
            </w:pPr>
          </w:p>
        </w:tc>
        <w:tc>
          <w:tcPr>
            <w:tcW w:w="1217" w:type="dxa"/>
            <w:tcBorders>
              <w:top w:val="nil"/>
              <w:left w:val="nil"/>
              <w:bottom w:val="nil"/>
              <w:right w:val="nil"/>
            </w:tcBorders>
            <w:shd w:val="clear" w:color="auto" w:fill="auto"/>
            <w:noWrap/>
            <w:vAlign w:val="bottom"/>
            <w:hideMark/>
          </w:tcPr>
          <w:p w14:paraId="13177EAD" w14:textId="77777777" w:rsidR="004F7637" w:rsidRPr="002D0130" w:rsidRDefault="004F7637" w:rsidP="008737A0">
            <w:pPr>
              <w:ind w:left="340"/>
              <w:rPr>
                <w:rFonts w:ascii="Times New Roman" w:eastAsia="Times New Roman" w:hAnsi="Times New Roman" w:cs="Times New Roman"/>
                <w:sz w:val="20"/>
                <w:szCs w:val="20"/>
              </w:rPr>
            </w:pPr>
          </w:p>
        </w:tc>
      </w:tr>
      <w:tr w:rsidR="004F7637" w:rsidRPr="002D0130" w14:paraId="6525EAC7"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0E6CEC64"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Total Acres</w:t>
            </w:r>
          </w:p>
        </w:tc>
        <w:tc>
          <w:tcPr>
            <w:tcW w:w="1217" w:type="dxa"/>
            <w:tcBorders>
              <w:top w:val="nil"/>
              <w:left w:val="nil"/>
              <w:bottom w:val="nil"/>
              <w:right w:val="nil"/>
            </w:tcBorders>
            <w:shd w:val="clear" w:color="auto" w:fill="auto"/>
            <w:noWrap/>
            <w:vAlign w:val="bottom"/>
            <w:hideMark/>
          </w:tcPr>
          <w:p w14:paraId="03B58116" w14:textId="77777777" w:rsidR="004F7637" w:rsidRPr="002D0130" w:rsidRDefault="004F7637" w:rsidP="008737A0">
            <w:pPr>
              <w:ind w:left="340"/>
              <w:jc w:val="right"/>
              <w:rPr>
                <w:rFonts w:ascii="Arial" w:eastAsia="Times New Roman" w:hAnsi="Arial" w:cs="Arial"/>
                <w:sz w:val="20"/>
                <w:szCs w:val="20"/>
              </w:rPr>
            </w:pPr>
            <w:r w:rsidRPr="002D0130">
              <w:rPr>
                <w:rFonts w:ascii="Arial" w:eastAsia="Times New Roman" w:hAnsi="Arial" w:cs="Arial"/>
                <w:sz w:val="20"/>
                <w:szCs w:val="20"/>
              </w:rPr>
              <w:t>896,993</w:t>
            </w:r>
          </w:p>
        </w:tc>
      </w:tr>
      <w:tr w:rsidR="004F7637" w:rsidRPr="002D0130" w14:paraId="310020AC"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7AACC090"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Acres Forested</w:t>
            </w:r>
          </w:p>
        </w:tc>
        <w:tc>
          <w:tcPr>
            <w:tcW w:w="1217" w:type="dxa"/>
            <w:tcBorders>
              <w:top w:val="nil"/>
              <w:left w:val="nil"/>
              <w:bottom w:val="nil"/>
              <w:right w:val="nil"/>
            </w:tcBorders>
            <w:shd w:val="clear" w:color="auto" w:fill="auto"/>
            <w:noWrap/>
            <w:vAlign w:val="bottom"/>
            <w:hideMark/>
          </w:tcPr>
          <w:p w14:paraId="50644035" w14:textId="77777777" w:rsidR="004F7637" w:rsidRPr="002D0130" w:rsidRDefault="004F7637" w:rsidP="008737A0">
            <w:pPr>
              <w:ind w:left="340"/>
              <w:jc w:val="right"/>
              <w:rPr>
                <w:rFonts w:ascii="Arial" w:eastAsia="Times New Roman" w:hAnsi="Arial" w:cs="Arial"/>
                <w:sz w:val="20"/>
                <w:szCs w:val="20"/>
              </w:rPr>
            </w:pPr>
            <w:r w:rsidRPr="002D0130">
              <w:rPr>
                <w:rFonts w:ascii="Arial" w:eastAsia="Times New Roman" w:hAnsi="Arial" w:cs="Arial"/>
                <w:sz w:val="20"/>
                <w:szCs w:val="20"/>
              </w:rPr>
              <w:t>745,607</w:t>
            </w:r>
          </w:p>
        </w:tc>
      </w:tr>
      <w:tr w:rsidR="004F7637" w:rsidRPr="002D0130" w14:paraId="4E7A6D8A"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6CF24424"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Acres Not Forested</w:t>
            </w:r>
          </w:p>
        </w:tc>
        <w:tc>
          <w:tcPr>
            <w:tcW w:w="1217" w:type="dxa"/>
            <w:tcBorders>
              <w:top w:val="nil"/>
              <w:left w:val="nil"/>
              <w:bottom w:val="nil"/>
              <w:right w:val="nil"/>
            </w:tcBorders>
            <w:shd w:val="clear" w:color="auto" w:fill="auto"/>
            <w:noWrap/>
            <w:vAlign w:val="bottom"/>
            <w:hideMark/>
          </w:tcPr>
          <w:p w14:paraId="252D1B3B" w14:textId="77777777" w:rsidR="004F7637" w:rsidRPr="002D0130" w:rsidRDefault="004F7637" w:rsidP="008737A0">
            <w:pPr>
              <w:ind w:left="340"/>
              <w:jc w:val="right"/>
              <w:rPr>
                <w:rFonts w:ascii="Arial" w:eastAsia="Times New Roman" w:hAnsi="Arial" w:cs="Arial"/>
                <w:sz w:val="20"/>
                <w:szCs w:val="20"/>
              </w:rPr>
            </w:pPr>
            <w:r w:rsidRPr="002D0130">
              <w:rPr>
                <w:rFonts w:ascii="Arial" w:eastAsia="Times New Roman" w:hAnsi="Arial" w:cs="Arial"/>
                <w:sz w:val="20"/>
                <w:szCs w:val="20"/>
              </w:rPr>
              <w:t>151,386</w:t>
            </w:r>
          </w:p>
        </w:tc>
      </w:tr>
      <w:tr w:rsidR="004F7637" w:rsidRPr="002D0130" w14:paraId="5BF41A46"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49C92F6F"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Acres of Productive Forestland</w:t>
            </w:r>
          </w:p>
        </w:tc>
        <w:tc>
          <w:tcPr>
            <w:tcW w:w="1217" w:type="dxa"/>
            <w:tcBorders>
              <w:top w:val="nil"/>
              <w:left w:val="nil"/>
              <w:bottom w:val="nil"/>
              <w:right w:val="nil"/>
            </w:tcBorders>
            <w:shd w:val="clear" w:color="auto" w:fill="auto"/>
            <w:noWrap/>
            <w:vAlign w:val="bottom"/>
            <w:hideMark/>
          </w:tcPr>
          <w:p w14:paraId="462D892B" w14:textId="77777777" w:rsidR="004F7637" w:rsidRPr="002D0130" w:rsidRDefault="004F7637" w:rsidP="008737A0">
            <w:pPr>
              <w:ind w:left="340"/>
              <w:jc w:val="right"/>
              <w:rPr>
                <w:rFonts w:ascii="Arial" w:eastAsia="Times New Roman" w:hAnsi="Arial" w:cs="Arial"/>
                <w:sz w:val="20"/>
                <w:szCs w:val="20"/>
              </w:rPr>
            </w:pPr>
            <w:r w:rsidRPr="002D0130">
              <w:rPr>
                <w:rFonts w:ascii="Arial" w:eastAsia="Times New Roman" w:hAnsi="Arial" w:cs="Arial"/>
                <w:sz w:val="20"/>
                <w:szCs w:val="20"/>
              </w:rPr>
              <w:t>620,547</w:t>
            </w:r>
          </w:p>
        </w:tc>
      </w:tr>
      <w:tr w:rsidR="004F7637" w:rsidRPr="002D0130" w14:paraId="181CC878"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3EA0DF99"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Acres of Non-Productive Forestland</w:t>
            </w:r>
          </w:p>
        </w:tc>
        <w:tc>
          <w:tcPr>
            <w:tcW w:w="1217" w:type="dxa"/>
            <w:tcBorders>
              <w:top w:val="nil"/>
              <w:left w:val="nil"/>
              <w:bottom w:val="nil"/>
              <w:right w:val="nil"/>
            </w:tcBorders>
            <w:shd w:val="clear" w:color="auto" w:fill="auto"/>
            <w:noWrap/>
            <w:vAlign w:val="bottom"/>
            <w:hideMark/>
          </w:tcPr>
          <w:p w14:paraId="3CAEC733" w14:textId="77777777" w:rsidR="004F7637" w:rsidRPr="002D0130" w:rsidRDefault="004F7637" w:rsidP="008737A0">
            <w:pPr>
              <w:ind w:left="340"/>
              <w:jc w:val="right"/>
              <w:rPr>
                <w:rFonts w:ascii="Arial" w:eastAsia="Times New Roman" w:hAnsi="Arial" w:cs="Arial"/>
                <w:sz w:val="20"/>
                <w:szCs w:val="20"/>
              </w:rPr>
            </w:pPr>
            <w:r w:rsidRPr="002D0130">
              <w:rPr>
                <w:rFonts w:ascii="Arial" w:eastAsia="Times New Roman" w:hAnsi="Arial" w:cs="Arial"/>
                <w:sz w:val="20"/>
                <w:szCs w:val="20"/>
              </w:rPr>
              <w:t>125,060</w:t>
            </w:r>
          </w:p>
        </w:tc>
      </w:tr>
      <w:tr w:rsidR="004F7637" w:rsidRPr="002D0130" w14:paraId="04F4D802"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23436E60"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Acres of Productive Reserved</w:t>
            </w:r>
          </w:p>
        </w:tc>
        <w:tc>
          <w:tcPr>
            <w:tcW w:w="1217" w:type="dxa"/>
            <w:tcBorders>
              <w:top w:val="nil"/>
              <w:left w:val="nil"/>
              <w:bottom w:val="nil"/>
              <w:right w:val="nil"/>
            </w:tcBorders>
            <w:shd w:val="clear" w:color="auto" w:fill="auto"/>
            <w:noWrap/>
            <w:vAlign w:val="bottom"/>
            <w:hideMark/>
          </w:tcPr>
          <w:p w14:paraId="6CEE16FD" w14:textId="77777777" w:rsidR="004F7637" w:rsidRPr="002D0130" w:rsidRDefault="004F7637" w:rsidP="008737A0">
            <w:pPr>
              <w:ind w:left="340"/>
              <w:jc w:val="right"/>
              <w:rPr>
                <w:rFonts w:ascii="Arial" w:eastAsia="Times New Roman" w:hAnsi="Arial" w:cs="Arial"/>
                <w:sz w:val="20"/>
                <w:szCs w:val="20"/>
              </w:rPr>
            </w:pPr>
            <w:r w:rsidRPr="002D0130">
              <w:rPr>
                <w:rFonts w:ascii="Arial" w:eastAsia="Times New Roman" w:hAnsi="Arial" w:cs="Arial"/>
                <w:sz w:val="20"/>
                <w:szCs w:val="20"/>
              </w:rPr>
              <w:t>132,565</w:t>
            </w:r>
          </w:p>
        </w:tc>
      </w:tr>
      <w:tr w:rsidR="004F7637" w:rsidRPr="002D0130" w14:paraId="2B1C1093"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400F6E03"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Acres Productive Not Reserved</w:t>
            </w:r>
          </w:p>
        </w:tc>
        <w:tc>
          <w:tcPr>
            <w:tcW w:w="1217" w:type="dxa"/>
            <w:tcBorders>
              <w:top w:val="nil"/>
              <w:left w:val="nil"/>
              <w:bottom w:val="nil"/>
              <w:right w:val="nil"/>
            </w:tcBorders>
            <w:shd w:val="clear" w:color="auto" w:fill="auto"/>
            <w:noWrap/>
            <w:vAlign w:val="bottom"/>
            <w:hideMark/>
          </w:tcPr>
          <w:p w14:paraId="2AFC4627" w14:textId="77777777" w:rsidR="004F7637" w:rsidRPr="002D0130" w:rsidRDefault="004F7637" w:rsidP="008737A0">
            <w:pPr>
              <w:ind w:left="340"/>
              <w:jc w:val="right"/>
              <w:rPr>
                <w:rFonts w:ascii="Arial" w:eastAsia="Times New Roman" w:hAnsi="Arial" w:cs="Arial"/>
                <w:sz w:val="20"/>
                <w:szCs w:val="20"/>
              </w:rPr>
            </w:pPr>
            <w:r w:rsidRPr="002D0130">
              <w:rPr>
                <w:rFonts w:ascii="Arial" w:eastAsia="Times New Roman" w:hAnsi="Arial" w:cs="Arial"/>
                <w:sz w:val="20"/>
                <w:szCs w:val="20"/>
              </w:rPr>
              <w:t>487,982</w:t>
            </w:r>
          </w:p>
        </w:tc>
      </w:tr>
      <w:tr w:rsidR="004F7637" w:rsidRPr="002D0130" w14:paraId="78F8E1F1"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6EB49909"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Tentatively Suitable</w:t>
            </w:r>
          </w:p>
        </w:tc>
        <w:tc>
          <w:tcPr>
            <w:tcW w:w="1217" w:type="dxa"/>
            <w:tcBorders>
              <w:top w:val="nil"/>
              <w:left w:val="nil"/>
              <w:bottom w:val="nil"/>
              <w:right w:val="nil"/>
            </w:tcBorders>
            <w:shd w:val="clear" w:color="auto" w:fill="auto"/>
            <w:noWrap/>
            <w:vAlign w:val="bottom"/>
            <w:hideMark/>
          </w:tcPr>
          <w:p w14:paraId="215FF2F8" w14:textId="77777777" w:rsidR="004F7637" w:rsidRPr="002D0130" w:rsidRDefault="004F7637" w:rsidP="008737A0">
            <w:pPr>
              <w:ind w:left="340"/>
              <w:jc w:val="right"/>
              <w:rPr>
                <w:rFonts w:ascii="Arial" w:eastAsia="Times New Roman" w:hAnsi="Arial" w:cs="Arial"/>
                <w:sz w:val="20"/>
                <w:szCs w:val="20"/>
              </w:rPr>
            </w:pPr>
            <w:r w:rsidRPr="002D0130">
              <w:rPr>
                <w:rFonts w:ascii="Arial" w:eastAsia="Times New Roman" w:hAnsi="Arial" w:cs="Arial"/>
                <w:sz w:val="20"/>
                <w:szCs w:val="20"/>
              </w:rPr>
              <w:t>385,691</w:t>
            </w:r>
          </w:p>
        </w:tc>
      </w:tr>
      <w:tr w:rsidR="004F7637" w:rsidRPr="002D0130" w14:paraId="6D3D38A4"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7F00D02F" w14:textId="77777777" w:rsidR="004F7637" w:rsidRPr="002D0130" w:rsidRDefault="004F7637" w:rsidP="008737A0">
            <w:pPr>
              <w:ind w:left="340"/>
              <w:rPr>
                <w:rFonts w:ascii="Times New Roman" w:eastAsia="Times New Roman" w:hAnsi="Times New Roman" w:cs="Times New Roman"/>
                <w:sz w:val="20"/>
                <w:szCs w:val="20"/>
              </w:rPr>
            </w:pPr>
          </w:p>
        </w:tc>
        <w:tc>
          <w:tcPr>
            <w:tcW w:w="1217" w:type="dxa"/>
            <w:tcBorders>
              <w:top w:val="nil"/>
              <w:left w:val="nil"/>
              <w:bottom w:val="nil"/>
              <w:right w:val="nil"/>
            </w:tcBorders>
            <w:shd w:val="clear" w:color="auto" w:fill="auto"/>
            <w:noWrap/>
            <w:vAlign w:val="bottom"/>
            <w:hideMark/>
          </w:tcPr>
          <w:p w14:paraId="5D3FA22B" w14:textId="77777777" w:rsidR="004F7637" w:rsidRPr="002D0130" w:rsidRDefault="004F7637" w:rsidP="008737A0">
            <w:pPr>
              <w:ind w:left="340"/>
              <w:rPr>
                <w:rFonts w:ascii="Times New Roman" w:eastAsia="Times New Roman" w:hAnsi="Times New Roman" w:cs="Times New Roman"/>
                <w:sz w:val="20"/>
                <w:szCs w:val="20"/>
              </w:rPr>
            </w:pPr>
          </w:p>
        </w:tc>
      </w:tr>
      <w:tr w:rsidR="004F7637" w:rsidRPr="002D0130" w14:paraId="723B1A8D"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60B2D06E"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Softwood volume in growing stock (&gt;5" dbh)</w:t>
            </w:r>
          </w:p>
        </w:tc>
        <w:tc>
          <w:tcPr>
            <w:tcW w:w="1217" w:type="dxa"/>
            <w:tcBorders>
              <w:top w:val="nil"/>
              <w:left w:val="nil"/>
              <w:bottom w:val="nil"/>
              <w:right w:val="nil"/>
            </w:tcBorders>
            <w:shd w:val="clear" w:color="auto" w:fill="auto"/>
            <w:noWrap/>
            <w:vAlign w:val="bottom"/>
            <w:hideMark/>
          </w:tcPr>
          <w:p w14:paraId="46F2F8AF" w14:textId="77777777" w:rsidR="004F7637" w:rsidRPr="002D0130" w:rsidRDefault="004F7637" w:rsidP="008737A0">
            <w:pPr>
              <w:ind w:left="340"/>
              <w:rPr>
                <w:rFonts w:ascii="Arial" w:eastAsia="Times New Roman" w:hAnsi="Arial" w:cs="Arial"/>
                <w:b/>
                <w:bCs/>
                <w:sz w:val="20"/>
                <w:szCs w:val="20"/>
              </w:rPr>
            </w:pPr>
          </w:p>
        </w:tc>
      </w:tr>
      <w:tr w:rsidR="004F7637" w:rsidRPr="002D0130" w14:paraId="258E46EC"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60769047"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on productive forestland</w:t>
            </w:r>
          </w:p>
        </w:tc>
        <w:tc>
          <w:tcPr>
            <w:tcW w:w="1217" w:type="dxa"/>
            <w:tcBorders>
              <w:top w:val="nil"/>
              <w:left w:val="nil"/>
              <w:bottom w:val="nil"/>
              <w:right w:val="nil"/>
            </w:tcBorders>
            <w:shd w:val="clear" w:color="auto" w:fill="auto"/>
            <w:noWrap/>
            <w:vAlign w:val="bottom"/>
            <w:hideMark/>
          </w:tcPr>
          <w:p w14:paraId="3F89D3C7" w14:textId="77777777" w:rsidR="004F7637" w:rsidRPr="002D0130" w:rsidRDefault="004F7637" w:rsidP="008737A0">
            <w:pPr>
              <w:ind w:left="340"/>
              <w:jc w:val="right"/>
              <w:rPr>
                <w:rFonts w:ascii="Arial" w:eastAsia="Times New Roman" w:hAnsi="Arial" w:cs="Arial"/>
                <w:sz w:val="20"/>
                <w:szCs w:val="20"/>
              </w:rPr>
            </w:pPr>
            <w:r w:rsidRPr="002D0130">
              <w:rPr>
                <w:rFonts w:ascii="Arial" w:eastAsia="Times New Roman" w:hAnsi="Arial" w:cs="Arial"/>
                <w:sz w:val="20"/>
                <w:szCs w:val="20"/>
              </w:rPr>
              <w:t>10,878.78</w:t>
            </w:r>
          </w:p>
        </w:tc>
      </w:tr>
      <w:tr w:rsidR="004F7637" w:rsidRPr="002D0130" w14:paraId="46565A37"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5E43861A"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Avg. Above Ground Biomass (&gt; 1" dbh (live and standing dead)</w:t>
            </w:r>
          </w:p>
        </w:tc>
        <w:tc>
          <w:tcPr>
            <w:tcW w:w="1217" w:type="dxa"/>
            <w:tcBorders>
              <w:top w:val="nil"/>
              <w:left w:val="nil"/>
              <w:bottom w:val="nil"/>
              <w:right w:val="nil"/>
            </w:tcBorders>
            <w:shd w:val="clear" w:color="auto" w:fill="auto"/>
            <w:noWrap/>
            <w:vAlign w:val="bottom"/>
            <w:hideMark/>
          </w:tcPr>
          <w:p w14:paraId="5F7C8064" w14:textId="77777777" w:rsidR="004F7637" w:rsidRPr="002D0130" w:rsidRDefault="004F7637" w:rsidP="008737A0">
            <w:pPr>
              <w:ind w:left="340"/>
              <w:rPr>
                <w:rFonts w:ascii="Arial" w:eastAsia="Times New Roman" w:hAnsi="Arial" w:cs="Arial"/>
                <w:sz w:val="20"/>
                <w:szCs w:val="20"/>
              </w:rPr>
            </w:pPr>
            <w:r w:rsidRPr="002D0130">
              <w:rPr>
                <w:rFonts w:ascii="Arial" w:eastAsia="Times New Roman" w:hAnsi="Arial" w:cs="Arial"/>
                <w:sz w:val="20"/>
                <w:szCs w:val="20"/>
              </w:rPr>
              <w:t xml:space="preserve"> </w:t>
            </w:r>
          </w:p>
        </w:tc>
      </w:tr>
      <w:tr w:rsidR="004F7637" w:rsidRPr="002D0130" w14:paraId="64B86D76"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79CFBA4E"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on productive forestland</w:t>
            </w:r>
          </w:p>
        </w:tc>
        <w:tc>
          <w:tcPr>
            <w:tcW w:w="1217" w:type="dxa"/>
            <w:tcBorders>
              <w:top w:val="nil"/>
              <w:left w:val="nil"/>
              <w:bottom w:val="nil"/>
              <w:right w:val="nil"/>
            </w:tcBorders>
            <w:shd w:val="clear" w:color="auto" w:fill="auto"/>
            <w:noWrap/>
            <w:vAlign w:val="bottom"/>
            <w:hideMark/>
          </w:tcPr>
          <w:p w14:paraId="312B49BC" w14:textId="77777777" w:rsidR="004F7637" w:rsidRPr="002D0130" w:rsidRDefault="004F7637" w:rsidP="008737A0">
            <w:pPr>
              <w:ind w:left="340"/>
              <w:jc w:val="right"/>
              <w:rPr>
                <w:rFonts w:ascii="Arial" w:eastAsia="Times New Roman" w:hAnsi="Arial" w:cs="Arial"/>
                <w:sz w:val="20"/>
                <w:szCs w:val="20"/>
              </w:rPr>
            </w:pPr>
            <w:r w:rsidRPr="002D0130">
              <w:rPr>
                <w:rFonts w:ascii="Arial" w:eastAsia="Times New Roman" w:hAnsi="Arial" w:cs="Arial"/>
                <w:sz w:val="20"/>
                <w:szCs w:val="20"/>
              </w:rPr>
              <w:t>30,355,889</w:t>
            </w:r>
          </w:p>
        </w:tc>
      </w:tr>
      <w:tr w:rsidR="004F7637" w:rsidRPr="002D0130" w14:paraId="32483AFD"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124C429A"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Average # of Trees/acre on productive not reserved forestland</w:t>
            </w:r>
          </w:p>
        </w:tc>
        <w:tc>
          <w:tcPr>
            <w:tcW w:w="1217" w:type="dxa"/>
            <w:tcBorders>
              <w:top w:val="nil"/>
              <w:left w:val="nil"/>
              <w:bottom w:val="nil"/>
              <w:right w:val="nil"/>
            </w:tcBorders>
            <w:shd w:val="clear" w:color="auto" w:fill="auto"/>
            <w:noWrap/>
            <w:vAlign w:val="bottom"/>
            <w:hideMark/>
          </w:tcPr>
          <w:p w14:paraId="12A3D5A8" w14:textId="77777777" w:rsidR="004F7637" w:rsidRPr="002D0130" w:rsidRDefault="004F7637" w:rsidP="008737A0">
            <w:pPr>
              <w:ind w:left="340"/>
              <w:jc w:val="right"/>
              <w:rPr>
                <w:rFonts w:ascii="Arial" w:eastAsia="Times New Roman" w:hAnsi="Arial" w:cs="Arial"/>
                <w:sz w:val="20"/>
                <w:szCs w:val="20"/>
              </w:rPr>
            </w:pPr>
            <w:r w:rsidRPr="002D0130">
              <w:rPr>
                <w:rFonts w:ascii="Arial" w:eastAsia="Times New Roman" w:hAnsi="Arial" w:cs="Arial"/>
                <w:sz w:val="20"/>
                <w:szCs w:val="20"/>
              </w:rPr>
              <w:t>278</w:t>
            </w:r>
          </w:p>
        </w:tc>
      </w:tr>
      <w:tr w:rsidR="004F7637" w:rsidRPr="002D0130" w14:paraId="3BFAD180"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180BD527" w14:textId="77777777" w:rsidR="004F7637" w:rsidRPr="002D0130" w:rsidRDefault="004F7637" w:rsidP="008737A0">
            <w:pPr>
              <w:ind w:left="340"/>
              <w:rPr>
                <w:rFonts w:ascii="Times New Roman" w:eastAsia="Times New Roman" w:hAnsi="Times New Roman" w:cs="Times New Roman"/>
                <w:sz w:val="20"/>
                <w:szCs w:val="20"/>
              </w:rPr>
            </w:pPr>
          </w:p>
        </w:tc>
        <w:tc>
          <w:tcPr>
            <w:tcW w:w="1217" w:type="dxa"/>
            <w:tcBorders>
              <w:top w:val="nil"/>
              <w:left w:val="nil"/>
              <w:bottom w:val="nil"/>
              <w:right w:val="nil"/>
            </w:tcBorders>
            <w:shd w:val="clear" w:color="auto" w:fill="auto"/>
            <w:noWrap/>
            <w:vAlign w:val="bottom"/>
            <w:hideMark/>
          </w:tcPr>
          <w:p w14:paraId="18FCF976" w14:textId="77777777" w:rsidR="004F7637" w:rsidRPr="002D0130" w:rsidRDefault="004F7637" w:rsidP="008737A0">
            <w:pPr>
              <w:ind w:left="340"/>
              <w:rPr>
                <w:rFonts w:ascii="Times New Roman" w:eastAsia="Times New Roman" w:hAnsi="Times New Roman" w:cs="Times New Roman"/>
                <w:sz w:val="20"/>
                <w:szCs w:val="20"/>
              </w:rPr>
            </w:pPr>
          </w:p>
        </w:tc>
      </w:tr>
      <w:tr w:rsidR="004F7637" w:rsidRPr="002D0130" w14:paraId="1697C082"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2043E6BB"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Annual net growth = 0.37 mbf/acre on productive not reserved</w:t>
            </w:r>
          </w:p>
        </w:tc>
        <w:tc>
          <w:tcPr>
            <w:tcW w:w="1217" w:type="dxa"/>
            <w:tcBorders>
              <w:top w:val="nil"/>
              <w:left w:val="nil"/>
              <w:bottom w:val="nil"/>
              <w:right w:val="nil"/>
            </w:tcBorders>
            <w:shd w:val="clear" w:color="auto" w:fill="auto"/>
            <w:noWrap/>
            <w:vAlign w:val="bottom"/>
            <w:hideMark/>
          </w:tcPr>
          <w:p w14:paraId="67F7557E" w14:textId="77777777" w:rsidR="004F7637" w:rsidRPr="002D0130" w:rsidRDefault="004F7637" w:rsidP="008737A0">
            <w:pPr>
              <w:ind w:left="340"/>
              <w:rPr>
                <w:rFonts w:ascii="Arial" w:eastAsia="Times New Roman" w:hAnsi="Arial" w:cs="Arial"/>
                <w:b/>
                <w:bCs/>
                <w:sz w:val="20"/>
                <w:szCs w:val="20"/>
              </w:rPr>
            </w:pPr>
          </w:p>
        </w:tc>
      </w:tr>
      <w:tr w:rsidR="004F7637" w:rsidRPr="002D0130" w14:paraId="56AF03CA"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56C0E6C2"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(1.7 tons/acre/year of new growth)</w:t>
            </w:r>
          </w:p>
        </w:tc>
        <w:tc>
          <w:tcPr>
            <w:tcW w:w="1217" w:type="dxa"/>
            <w:tcBorders>
              <w:top w:val="nil"/>
              <w:left w:val="nil"/>
              <w:bottom w:val="nil"/>
              <w:right w:val="nil"/>
            </w:tcBorders>
            <w:shd w:val="clear" w:color="auto" w:fill="auto"/>
            <w:noWrap/>
            <w:vAlign w:val="bottom"/>
            <w:hideMark/>
          </w:tcPr>
          <w:p w14:paraId="41618EC5" w14:textId="77777777" w:rsidR="004F7637" w:rsidRPr="002D0130" w:rsidRDefault="004F7637" w:rsidP="008737A0">
            <w:pPr>
              <w:ind w:left="340"/>
              <w:rPr>
                <w:rFonts w:ascii="Arial" w:eastAsia="Times New Roman" w:hAnsi="Arial" w:cs="Arial"/>
                <w:b/>
                <w:bCs/>
                <w:sz w:val="20"/>
                <w:szCs w:val="20"/>
              </w:rPr>
            </w:pPr>
          </w:p>
        </w:tc>
      </w:tr>
      <w:tr w:rsidR="004F7637" w:rsidRPr="002D0130" w14:paraId="55456D90"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13314FA0" w14:textId="77777777" w:rsidR="004F7637" w:rsidRPr="002D0130" w:rsidRDefault="004F7637" w:rsidP="008737A0">
            <w:pPr>
              <w:ind w:left="340"/>
              <w:rPr>
                <w:rFonts w:ascii="Times New Roman" w:eastAsia="Times New Roman" w:hAnsi="Times New Roman" w:cs="Times New Roman"/>
                <w:sz w:val="20"/>
                <w:szCs w:val="20"/>
              </w:rPr>
            </w:pPr>
          </w:p>
        </w:tc>
        <w:tc>
          <w:tcPr>
            <w:tcW w:w="1217" w:type="dxa"/>
            <w:tcBorders>
              <w:top w:val="nil"/>
              <w:left w:val="nil"/>
              <w:bottom w:val="nil"/>
              <w:right w:val="nil"/>
            </w:tcBorders>
            <w:shd w:val="clear" w:color="auto" w:fill="auto"/>
            <w:noWrap/>
            <w:vAlign w:val="bottom"/>
            <w:hideMark/>
          </w:tcPr>
          <w:p w14:paraId="65C86E89" w14:textId="77777777" w:rsidR="004F7637" w:rsidRPr="002D0130" w:rsidRDefault="004F7637" w:rsidP="008737A0">
            <w:pPr>
              <w:ind w:left="340"/>
              <w:rPr>
                <w:rFonts w:ascii="Times New Roman" w:eastAsia="Times New Roman" w:hAnsi="Times New Roman" w:cs="Times New Roman"/>
                <w:sz w:val="20"/>
                <w:szCs w:val="20"/>
              </w:rPr>
            </w:pPr>
          </w:p>
        </w:tc>
      </w:tr>
      <w:tr w:rsidR="004F7637" w:rsidRPr="002D0130" w14:paraId="78E59D0E"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63890773" w14:textId="77777777" w:rsidR="004F7637" w:rsidRPr="002D0130" w:rsidRDefault="004F7637" w:rsidP="008737A0">
            <w:pPr>
              <w:ind w:left="340"/>
              <w:rPr>
                <w:rFonts w:ascii="Times New Roman" w:eastAsia="Times New Roman" w:hAnsi="Times New Roman" w:cs="Times New Roman"/>
                <w:sz w:val="20"/>
                <w:szCs w:val="20"/>
              </w:rPr>
            </w:pPr>
          </w:p>
        </w:tc>
        <w:tc>
          <w:tcPr>
            <w:tcW w:w="1217" w:type="dxa"/>
            <w:tcBorders>
              <w:top w:val="nil"/>
              <w:left w:val="nil"/>
              <w:bottom w:val="nil"/>
              <w:right w:val="nil"/>
            </w:tcBorders>
            <w:shd w:val="clear" w:color="auto" w:fill="auto"/>
            <w:noWrap/>
            <w:vAlign w:val="bottom"/>
            <w:hideMark/>
          </w:tcPr>
          <w:p w14:paraId="1AEFB453" w14:textId="77777777" w:rsidR="004F7637" w:rsidRPr="002D0130" w:rsidRDefault="004F7637" w:rsidP="008737A0">
            <w:pPr>
              <w:ind w:left="340"/>
              <w:rPr>
                <w:rFonts w:ascii="Times New Roman" w:eastAsia="Times New Roman" w:hAnsi="Times New Roman" w:cs="Times New Roman"/>
                <w:sz w:val="20"/>
                <w:szCs w:val="20"/>
              </w:rPr>
            </w:pPr>
          </w:p>
        </w:tc>
      </w:tr>
      <w:tr w:rsidR="004F7637" w:rsidRPr="002D0130" w14:paraId="099343BD"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1BC7182D"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On Productive Forest Land Not Reserved:</w:t>
            </w:r>
          </w:p>
        </w:tc>
        <w:tc>
          <w:tcPr>
            <w:tcW w:w="1217" w:type="dxa"/>
            <w:tcBorders>
              <w:top w:val="nil"/>
              <w:left w:val="nil"/>
              <w:bottom w:val="nil"/>
              <w:right w:val="nil"/>
            </w:tcBorders>
            <w:shd w:val="clear" w:color="auto" w:fill="auto"/>
            <w:noWrap/>
            <w:vAlign w:val="bottom"/>
            <w:hideMark/>
          </w:tcPr>
          <w:p w14:paraId="3FF73404" w14:textId="77777777" w:rsidR="004F7637" w:rsidRPr="002D0130" w:rsidRDefault="004F7637" w:rsidP="008737A0">
            <w:pPr>
              <w:ind w:left="340"/>
              <w:rPr>
                <w:rFonts w:ascii="Arial" w:eastAsia="Times New Roman" w:hAnsi="Arial" w:cs="Arial"/>
                <w:b/>
                <w:bCs/>
                <w:sz w:val="20"/>
                <w:szCs w:val="20"/>
              </w:rPr>
            </w:pPr>
          </w:p>
        </w:tc>
      </w:tr>
      <w:tr w:rsidR="004F7637" w:rsidRPr="002D0130" w14:paraId="3C43C325"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719A6BAB"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Gross Growth = 222.5 mmbf/year</w:t>
            </w:r>
          </w:p>
        </w:tc>
        <w:tc>
          <w:tcPr>
            <w:tcW w:w="1217" w:type="dxa"/>
            <w:tcBorders>
              <w:top w:val="nil"/>
              <w:left w:val="nil"/>
              <w:bottom w:val="nil"/>
              <w:right w:val="nil"/>
            </w:tcBorders>
            <w:shd w:val="clear" w:color="auto" w:fill="auto"/>
            <w:noWrap/>
            <w:vAlign w:val="bottom"/>
            <w:hideMark/>
          </w:tcPr>
          <w:p w14:paraId="4C21804C" w14:textId="77777777" w:rsidR="004F7637" w:rsidRPr="002D0130" w:rsidRDefault="004F7637" w:rsidP="008737A0">
            <w:pPr>
              <w:ind w:left="340"/>
              <w:rPr>
                <w:rFonts w:ascii="Arial" w:eastAsia="Times New Roman" w:hAnsi="Arial" w:cs="Arial"/>
                <w:b/>
                <w:bCs/>
                <w:sz w:val="20"/>
                <w:szCs w:val="20"/>
              </w:rPr>
            </w:pPr>
          </w:p>
        </w:tc>
      </w:tr>
      <w:tr w:rsidR="004F7637" w:rsidRPr="002D0130" w14:paraId="73F29641"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0EA22CA0"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Annual Mortality = 41.2 mmbf/year</w:t>
            </w:r>
          </w:p>
        </w:tc>
        <w:tc>
          <w:tcPr>
            <w:tcW w:w="1217" w:type="dxa"/>
            <w:tcBorders>
              <w:top w:val="nil"/>
              <w:left w:val="nil"/>
              <w:bottom w:val="nil"/>
              <w:right w:val="nil"/>
            </w:tcBorders>
            <w:shd w:val="clear" w:color="auto" w:fill="auto"/>
            <w:noWrap/>
            <w:vAlign w:val="bottom"/>
            <w:hideMark/>
          </w:tcPr>
          <w:p w14:paraId="7E96A2DB" w14:textId="77777777" w:rsidR="004F7637" w:rsidRPr="002D0130" w:rsidRDefault="004F7637" w:rsidP="008737A0">
            <w:pPr>
              <w:ind w:left="340"/>
              <w:rPr>
                <w:rFonts w:ascii="Arial" w:eastAsia="Times New Roman" w:hAnsi="Arial" w:cs="Arial"/>
                <w:b/>
                <w:bCs/>
                <w:sz w:val="20"/>
                <w:szCs w:val="20"/>
              </w:rPr>
            </w:pPr>
          </w:p>
        </w:tc>
      </w:tr>
      <w:tr w:rsidR="004F7637" w:rsidRPr="002D0130" w14:paraId="3348E416"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3C7B2EA1"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Net Growth = 181.4 mmbf/year</w:t>
            </w:r>
          </w:p>
        </w:tc>
        <w:tc>
          <w:tcPr>
            <w:tcW w:w="1217" w:type="dxa"/>
            <w:tcBorders>
              <w:top w:val="nil"/>
              <w:left w:val="nil"/>
              <w:bottom w:val="nil"/>
              <w:right w:val="nil"/>
            </w:tcBorders>
            <w:shd w:val="clear" w:color="auto" w:fill="auto"/>
            <w:noWrap/>
            <w:vAlign w:val="bottom"/>
            <w:hideMark/>
          </w:tcPr>
          <w:p w14:paraId="5CB8A96F" w14:textId="77777777" w:rsidR="004F7637" w:rsidRPr="002D0130" w:rsidRDefault="004F7637" w:rsidP="008737A0">
            <w:pPr>
              <w:ind w:left="340"/>
              <w:rPr>
                <w:rFonts w:ascii="Arial" w:eastAsia="Times New Roman" w:hAnsi="Arial" w:cs="Arial"/>
                <w:b/>
                <w:bCs/>
                <w:sz w:val="20"/>
                <w:szCs w:val="20"/>
              </w:rPr>
            </w:pPr>
          </w:p>
        </w:tc>
      </w:tr>
      <w:tr w:rsidR="004F7637" w:rsidRPr="002D0130" w14:paraId="54C0A954" w14:textId="77777777" w:rsidTr="004F7637">
        <w:trPr>
          <w:gridAfter w:val="1"/>
          <w:wAfter w:w="1231" w:type="dxa"/>
          <w:trHeight w:val="260"/>
        </w:trPr>
        <w:tc>
          <w:tcPr>
            <w:tcW w:w="7094" w:type="dxa"/>
            <w:tcBorders>
              <w:top w:val="nil"/>
              <w:left w:val="nil"/>
              <w:bottom w:val="nil"/>
              <w:right w:val="nil"/>
            </w:tcBorders>
            <w:shd w:val="clear" w:color="auto" w:fill="auto"/>
            <w:noWrap/>
            <w:vAlign w:val="bottom"/>
            <w:hideMark/>
          </w:tcPr>
          <w:p w14:paraId="0E62F4E4" w14:textId="77777777" w:rsidR="004F7637" w:rsidRPr="002D0130" w:rsidRDefault="004F7637" w:rsidP="008737A0">
            <w:pPr>
              <w:ind w:left="340"/>
              <w:rPr>
                <w:rFonts w:ascii="Arial" w:eastAsia="Times New Roman" w:hAnsi="Arial" w:cs="Arial"/>
                <w:b/>
                <w:bCs/>
                <w:sz w:val="20"/>
                <w:szCs w:val="20"/>
              </w:rPr>
            </w:pPr>
            <w:r w:rsidRPr="002D0130">
              <w:rPr>
                <w:rFonts w:ascii="Arial" w:eastAsia="Times New Roman" w:hAnsi="Arial" w:cs="Arial"/>
                <w:b/>
                <w:bCs/>
                <w:sz w:val="20"/>
                <w:szCs w:val="20"/>
              </w:rPr>
              <w:t>Average Sold Volume 2006-2019 = 36.7 mmbf</w:t>
            </w:r>
          </w:p>
        </w:tc>
        <w:tc>
          <w:tcPr>
            <w:tcW w:w="1217" w:type="dxa"/>
            <w:tcBorders>
              <w:top w:val="nil"/>
              <w:left w:val="nil"/>
              <w:bottom w:val="nil"/>
              <w:right w:val="nil"/>
            </w:tcBorders>
            <w:shd w:val="clear" w:color="auto" w:fill="auto"/>
            <w:noWrap/>
            <w:vAlign w:val="bottom"/>
            <w:hideMark/>
          </w:tcPr>
          <w:p w14:paraId="05597A97" w14:textId="77777777" w:rsidR="004F7637" w:rsidRPr="002D0130" w:rsidRDefault="004F7637" w:rsidP="008737A0">
            <w:pPr>
              <w:ind w:left="340"/>
              <w:rPr>
                <w:rFonts w:ascii="Arial" w:eastAsia="Times New Roman" w:hAnsi="Arial" w:cs="Arial"/>
                <w:b/>
                <w:bCs/>
                <w:sz w:val="20"/>
                <w:szCs w:val="20"/>
              </w:rPr>
            </w:pPr>
          </w:p>
        </w:tc>
      </w:tr>
    </w:tbl>
    <w:p w14:paraId="6E38C57F" w14:textId="77777777" w:rsidR="004F7637" w:rsidRPr="004F7637" w:rsidRDefault="004F7637" w:rsidP="004F7637">
      <w:pPr>
        <w:pStyle w:val="ListParagraph"/>
      </w:pPr>
    </w:p>
    <w:sectPr w:rsidR="004F7637" w:rsidRPr="004F7637" w:rsidSect="00B77823">
      <w:headerReference w:type="default" r:id="rId12"/>
      <w:headerReference w:type="first" r:id="rId13"/>
      <w:pgSz w:w="12240" w:h="15840" w:code="1"/>
      <w:pgMar w:top="2520" w:right="1800" w:bottom="18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259A6" w14:textId="77777777" w:rsidR="00E23BE7" w:rsidRDefault="00E23BE7" w:rsidP="008F2441">
      <w:r>
        <w:separator/>
      </w:r>
    </w:p>
  </w:endnote>
  <w:endnote w:type="continuationSeparator" w:id="0">
    <w:p w14:paraId="74385AEB" w14:textId="77777777" w:rsidR="00E23BE7" w:rsidRDefault="00E23BE7" w:rsidP="008F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6095C" w14:textId="77777777" w:rsidR="00E23BE7" w:rsidRDefault="00E23BE7" w:rsidP="008F2441">
      <w:r>
        <w:separator/>
      </w:r>
    </w:p>
  </w:footnote>
  <w:footnote w:type="continuationSeparator" w:id="0">
    <w:p w14:paraId="3C17104C" w14:textId="77777777" w:rsidR="00E23BE7" w:rsidRDefault="00E23BE7" w:rsidP="008F2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3FA59" w14:textId="77777777" w:rsidR="00E23BE7" w:rsidRDefault="00E23BE7">
    <w:pPr>
      <w:pStyle w:val="Header"/>
      <w:rPr>
        <w:sz w:val="20"/>
      </w:rPr>
    </w:pPr>
  </w:p>
  <w:p w14:paraId="0E38313B" w14:textId="77777777" w:rsidR="00E23BE7" w:rsidRDefault="00E23BE7">
    <w:pPr>
      <w:pStyle w:val="Header"/>
      <w:rPr>
        <w:sz w:val="20"/>
      </w:rPr>
    </w:pPr>
  </w:p>
  <w:sdt>
    <w:sdtPr>
      <w:rPr>
        <w:sz w:val="20"/>
      </w:rPr>
      <w:id w:val="250395305"/>
      <w:docPartObj>
        <w:docPartGallery w:val="Page Numbers (Top of Page)"/>
        <w:docPartUnique/>
      </w:docPartObj>
    </w:sdtPr>
    <w:sdtEndPr/>
    <w:sdtContent>
      <w:p w14:paraId="1CC55284" w14:textId="77777777" w:rsidR="00E23BE7" w:rsidRDefault="00E23BE7">
        <w:pPr>
          <w:rPr>
            <w:sz w:val="20"/>
          </w:rPr>
        </w:pPr>
      </w:p>
      <w:p w14:paraId="58FB60A0" w14:textId="77777777" w:rsidR="00E23BE7" w:rsidRDefault="00E23BE7">
        <w:pPr>
          <w:rPr>
            <w:sz w:val="20"/>
          </w:rPr>
        </w:pPr>
      </w:p>
      <w:p w14:paraId="3EB6CFB0" w14:textId="77777777" w:rsidR="00E23BE7" w:rsidRPr="00B77823" w:rsidRDefault="00E23BE7" w:rsidP="00B77823">
        <w:pPr>
          <w:pBdr>
            <w:bottom w:val="single" w:sz="4" w:space="1" w:color="auto"/>
          </w:pBdr>
          <w:rPr>
            <w:sz w:val="20"/>
          </w:rPr>
        </w:pPr>
        <w:r w:rsidRPr="00B77823">
          <w:rPr>
            <w:sz w:val="20"/>
          </w:rPr>
          <w:t xml:space="preserve">Page </w:t>
        </w:r>
        <w:r w:rsidRPr="00B77823">
          <w:rPr>
            <w:sz w:val="20"/>
          </w:rPr>
          <w:fldChar w:fldCharType="begin"/>
        </w:r>
        <w:r w:rsidRPr="00B77823">
          <w:rPr>
            <w:sz w:val="20"/>
          </w:rPr>
          <w:instrText xml:space="preserve"> PAGE </w:instrText>
        </w:r>
        <w:r w:rsidRPr="00B77823">
          <w:rPr>
            <w:sz w:val="20"/>
          </w:rPr>
          <w:fldChar w:fldCharType="separate"/>
        </w:r>
        <w:r>
          <w:rPr>
            <w:noProof/>
            <w:sz w:val="20"/>
          </w:rPr>
          <w:t>3</w:t>
        </w:r>
        <w:r w:rsidRPr="00B77823">
          <w:rPr>
            <w:sz w:val="20"/>
          </w:rPr>
          <w:fldChar w:fldCharType="end"/>
        </w:r>
        <w:r w:rsidRPr="00B77823">
          <w:rPr>
            <w:sz w:val="20"/>
          </w:rPr>
          <w:t xml:space="preserve"> of </w:t>
        </w:r>
        <w:r w:rsidRPr="00B77823">
          <w:rPr>
            <w:sz w:val="20"/>
          </w:rPr>
          <w:fldChar w:fldCharType="begin"/>
        </w:r>
        <w:r w:rsidRPr="00B77823">
          <w:rPr>
            <w:sz w:val="20"/>
          </w:rPr>
          <w:instrText xml:space="preserve"> NUMPAGES  </w:instrText>
        </w:r>
        <w:r w:rsidRPr="00B77823">
          <w:rPr>
            <w:sz w:val="20"/>
          </w:rPr>
          <w:fldChar w:fldCharType="separate"/>
        </w:r>
        <w:r>
          <w:rPr>
            <w:noProof/>
            <w:sz w:val="20"/>
          </w:rPr>
          <w:t>3</w:t>
        </w:r>
        <w:r w:rsidRPr="00B77823">
          <w:rPr>
            <w:sz w:val="20"/>
          </w:rPr>
          <w:fldChar w:fldCharType="end"/>
        </w:r>
      </w:p>
    </w:sdtContent>
  </w:sdt>
  <w:p w14:paraId="064A6C8E" w14:textId="77777777" w:rsidR="00E23BE7" w:rsidRDefault="00E23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8A272" w14:textId="77777777" w:rsidR="00E23BE7" w:rsidRDefault="00E23BE7">
    <w:pPr>
      <w:pStyle w:val="Header"/>
    </w:pPr>
    <w:r>
      <w:rPr>
        <w:noProof/>
      </w:rPr>
      <w:drawing>
        <wp:anchor distT="0" distB="0" distL="114300" distR="114300" simplePos="0" relativeHeight="251658240" behindDoc="1" locked="0" layoutInCell="1" allowOverlap="1" wp14:anchorId="51C3B82B" wp14:editId="5C7D2183">
          <wp:simplePos x="0" y="0"/>
          <wp:positionH relativeFrom="column">
            <wp:posOffset>-1181100</wp:posOffset>
          </wp:positionH>
          <wp:positionV relativeFrom="paragraph">
            <wp:posOffset>-619125</wp:posOffset>
          </wp:positionV>
          <wp:extent cx="8001000" cy="10287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SYSTEM-02.png"/>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7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01F48"/>
    <w:multiLevelType w:val="hybridMultilevel"/>
    <w:tmpl w:val="D9621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4488C"/>
    <w:multiLevelType w:val="hybridMultilevel"/>
    <w:tmpl w:val="9B1AC6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A54F55"/>
    <w:multiLevelType w:val="hybridMultilevel"/>
    <w:tmpl w:val="532C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D3825"/>
    <w:multiLevelType w:val="hybridMultilevel"/>
    <w:tmpl w:val="6074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851F1"/>
    <w:multiLevelType w:val="hybridMultilevel"/>
    <w:tmpl w:val="724AF1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9FA52B8"/>
    <w:multiLevelType w:val="hybridMultilevel"/>
    <w:tmpl w:val="6D10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01"/>
    <w:rsid w:val="0008606F"/>
    <w:rsid w:val="000B5AB0"/>
    <w:rsid w:val="000C3AA2"/>
    <w:rsid w:val="000F35E6"/>
    <w:rsid w:val="00100AC5"/>
    <w:rsid w:val="0013440E"/>
    <w:rsid w:val="00137D72"/>
    <w:rsid w:val="001C2093"/>
    <w:rsid w:val="002061D1"/>
    <w:rsid w:val="002135F2"/>
    <w:rsid w:val="00264DD3"/>
    <w:rsid w:val="002C5480"/>
    <w:rsid w:val="0030353E"/>
    <w:rsid w:val="00372E1A"/>
    <w:rsid w:val="003851B2"/>
    <w:rsid w:val="003A6012"/>
    <w:rsid w:val="003A71AD"/>
    <w:rsid w:val="0048731B"/>
    <w:rsid w:val="004A735C"/>
    <w:rsid w:val="004F0538"/>
    <w:rsid w:val="004F7637"/>
    <w:rsid w:val="005005AE"/>
    <w:rsid w:val="0056726C"/>
    <w:rsid w:val="00601AA9"/>
    <w:rsid w:val="006021BB"/>
    <w:rsid w:val="00630943"/>
    <w:rsid w:val="00694A79"/>
    <w:rsid w:val="006C39A5"/>
    <w:rsid w:val="0072010B"/>
    <w:rsid w:val="007345A7"/>
    <w:rsid w:val="00835494"/>
    <w:rsid w:val="008737A0"/>
    <w:rsid w:val="008A0CAF"/>
    <w:rsid w:val="008C5EDE"/>
    <w:rsid w:val="008E2CFD"/>
    <w:rsid w:val="008F2441"/>
    <w:rsid w:val="0098208E"/>
    <w:rsid w:val="00A125AB"/>
    <w:rsid w:val="00A7187B"/>
    <w:rsid w:val="00A967FC"/>
    <w:rsid w:val="00AE0803"/>
    <w:rsid w:val="00B020A4"/>
    <w:rsid w:val="00B33A7D"/>
    <w:rsid w:val="00B77823"/>
    <w:rsid w:val="00BB669D"/>
    <w:rsid w:val="00BC1F49"/>
    <w:rsid w:val="00BE0125"/>
    <w:rsid w:val="00C040C5"/>
    <w:rsid w:val="00C046E5"/>
    <w:rsid w:val="00C10BFA"/>
    <w:rsid w:val="00C44C22"/>
    <w:rsid w:val="00C46743"/>
    <w:rsid w:val="00D230B0"/>
    <w:rsid w:val="00D344C1"/>
    <w:rsid w:val="00D455EA"/>
    <w:rsid w:val="00D61F21"/>
    <w:rsid w:val="00D85AEB"/>
    <w:rsid w:val="00DE1A3C"/>
    <w:rsid w:val="00DF3CA9"/>
    <w:rsid w:val="00E23BE7"/>
    <w:rsid w:val="00E24A3F"/>
    <w:rsid w:val="00E353D3"/>
    <w:rsid w:val="00E429D2"/>
    <w:rsid w:val="00E84E01"/>
    <w:rsid w:val="00EE05D7"/>
    <w:rsid w:val="00F116A8"/>
    <w:rsid w:val="00F84FDA"/>
    <w:rsid w:val="00F94933"/>
    <w:rsid w:val="00FF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726C15D"/>
  <w15:docId w15:val="{B0D4F082-B233-4173-AFBE-380D8501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441"/>
    <w:pPr>
      <w:tabs>
        <w:tab w:val="center" w:pos="4320"/>
        <w:tab w:val="right" w:pos="8640"/>
      </w:tabs>
    </w:pPr>
  </w:style>
  <w:style w:type="character" w:customStyle="1" w:styleId="HeaderChar">
    <w:name w:val="Header Char"/>
    <w:basedOn w:val="DefaultParagraphFont"/>
    <w:link w:val="Header"/>
    <w:uiPriority w:val="99"/>
    <w:rsid w:val="008F2441"/>
  </w:style>
  <w:style w:type="paragraph" w:styleId="Footer">
    <w:name w:val="footer"/>
    <w:basedOn w:val="Normal"/>
    <w:link w:val="FooterChar"/>
    <w:uiPriority w:val="99"/>
    <w:unhideWhenUsed/>
    <w:rsid w:val="008F2441"/>
    <w:pPr>
      <w:tabs>
        <w:tab w:val="center" w:pos="4320"/>
        <w:tab w:val="right" w:pos="8640"/>
      </w:tabs>
    </w:pPr>
  </w:style>
  <w:style w:type="character" w:customStyle="1" w:styleId="FooterChar">
    <w:name w:val="Footer Char"/>
    <w:basedOn w:val="DefaultParagraphFont"/>
    <w:link w:val="Footer"/>
    <w:uiPriority w:val="99"/>
    <w:rsid w:val="008F2441"/>
  </w:style>
  <w:style w:type="paragraph" w:styleId="BalloonText">
    <w:name w:val="Balloon Text"/>
    <w:basedOn w:val="Normal"/>
    <w:link w:val="BalloonTextChar"/>
    <w:uiPriority w:val="99"/>
    <w:semiHidden/>
    <w:unhideWhenUsed/>
    <w:rsid w:val="008F24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441"/>
    <w:rPr>
      <w:rFonts w:ascii="Lucida Grande" w:hAnsi="Lucida Grande" w:cs="Lucida Grande"/>
      <w:sz w:val="18"/>
      <w:szCs w:val="18"/>
    </w:rPr>
  </w:style>
  <w:style w:type="table" w:styleId="TableGrid">
    <w:name w:val="Table Grid"/>
    <w:basedOn w:val="TableNormal"/>
    <w:uiPriority w:val="39"/>
    <w:rsid w:val="00E84E0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E01"/>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E84E01"/>
    <w:rPr>
      <w:color w:val="0000FF"/>
      <w:u w:val="single"/>
    </w:rPr>
  </w:style>
  <w:style w:type="paragraph" w:customStyle="1" w:styleId="Default">
    <w:name w:val="Default"/>
    <w:rsid w:val="00E84E01"/>
    <w:pPr>
      <w:autoSpaceDE w:val="0"/>
      <w:autoSpaceDN w:val="0"/>
      <w:adjustRightInd w:val="0"/>
    </w:pPr>
    <w:rPr>
      <w:rFonts w:ascii="Calibri" w:eastAsiaTheme="minorHAnsi" w:hAnsi="Calibri" w:cs="Calibri"/>
      <w:color w:val="000000"/>
    </w:rPr>
  </w:style>
  <w:style w:type="paragraph" w:styleId="NormalWeb">
    <w:name w:val="Normal (Web)"/>
    <w:basedOn w:val="Normal"/>
    <w:uiPriority w:val="99"/>
    <w:unhideWhenUsed/>
    <w:rsid w:val="00A125AB"/>
    <w:pPr>
      <w:spacing w:before="100" w:beforeAutospacing="1" w:after="100" w:afterAutospacing="1"/>
    </w:pPr>
    <w:rPr>
      <w:rFonts w:ascii="Calibri" w:eastAsiaTheme="minorHAnsi" w:hAnsi="Calibri" w:cs="Calibri"/>
      <w:sz w:val="22"/>
      <w:szCs w:val="22"/>
    </w:rPr>
  </w:style>
  <w:style w:type="paragraph" w:styleId="BodyText">
    <w:name w:val="Body Text"/>
    <w:basedOn w:val="Normal"/>
    <w:link w:val="BodyTextChar"/>
    <w:uiPriority w:val="99"/>
    <w:semiHidden/>
    <w:unhideWhenUsed/>
    <w:rsid w:val="0048731B"/>
    <w:rPr>
      <w:rFonts w:ascii="Times New Roman" w:eastAsiaTheme="minorHAnsi" w:hAnsi="Times New Roman" w:cs="Times New Roman"/>
      <w:sz w:val="20"/>
      <w:szCs w:val="20"/>
    </w:rPr>
  </w:style>
  <w:style w:type="character" w:customStyle="1" w:styleId="BodyTextChar">
    <w:name w:val="Body Text Char"/>
    <w:basedOn w:val="DefaultParagraphFont"/>
    <w:link w:val="BodyText"/>
    <w:uiPriority w:val="99"/>
    <w:semiHidden/>
    <w:rsid w:val="0048731B"/>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82511">
      <w:bodyDiv w:val="1"/>
      <w:marLeft w:val="0"/>
      <w:marRight w:val="0"/>
      <w:marTop w:val="0"/>
      <w:marBottom w:val="0"/>
      <w:divBdr>
        <w:top w:val="none" w:sz="0" w:space="0" w:color="auto"/>
        <w:left w:val="none" w:sz="0" w:space="0" w:color="auto"/>
        <w:bottom w:val="none" w:sz="0" w:space="0" w:color="auto"/>
        <w:right w:val="none" w:sz="0" w:space="0" w:color="auto"/>
      </w:divBdr>
    </w:div>
    <w:div w:id="420878325">
      <w:bodyDiv w:val="1"/>
      <w:marLeft w:val="0"/>
      <w:marRight w:val="0"/>
      <w:marTop w:val="0"/>
      <w:marBottom w:val="0"/>
      <w:divBdr>
        <w:top w:val="none" w:sz="0" w:space="0" w:color="auto"/>
        <w:left w:val="none" w:sz="0" w:space="0" w:color="auto"/>
        <w:bottom w:val="none" w:sz="0" w:space="0" w:color="auto"/>
        <w:right w:val="none" w:sz="0" w:space="0" w:color="auto"/>
      </w:divBdr>
    </w:div>
    <w:div w:id="1812675273">
      <w:bodyDiv w:val="1"/>
      <w:marLeft w:val="0"/>
      <w:marRight w:val="0"/>
      <w:marTop w:val="0"/>
      <w:marBottom w:val="0"/>
      <w:divBdr>
        <w:top w:val="none" w:sz="0" w:space="0" w:color="auto"/>
        <w:left w:val="none" w:sz="0" w:space="0" w:color="auto"/>
        <w:bottom w:val="none" w:sz="0" w:space="0" w:color="auto"/>
        <w:right w:val="none" w:sz="0" w:space="0" w:color="auto"/>
      </w:divBdr>
    </w:div>
    <w:div w:id="2133287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b@calfores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ra.ecosystem-management.org/Public/commentInput?Project=565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J:\Steve\Calforests%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C2557-6451-40AB-8599-38D5AEC0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Calforests Letterhead Template</Template>
  <TotalTime>1</TotalTime>
  <Pages>6</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CMB Design Partners</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Brink</dc:creator>
  <cp:lastModifiedBy>Steve Brink</cp:lastModifiedBy>
  <cp:revision>2</cp:revision>
  <dcterms:created xsi:type="dcterms:W3CDTF">2020-08-14T00:43:00Z</dcterms:created>
  <dcterms:modified xsi:type="dcterms:W3CDTF">2020-08-14T00:43:00Z</dcterms:modified>
</cp:coreProperties>
</file>