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To : Objections Reviewing Officer</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From : Lance Olsen</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Subject : Helena-Lewis and Clark National Forest Revised Forest Plan and FEIS, William Ivey, Forest Supervisor</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 xml:space="preserve">Submitted :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rPr>
        <w:t xml:space="preserve">The USDA Forest Service has released its Revised Forest Plan and related documents for the Helena-Lewis and Clark National Forest (hereafter the Forest). </w:t>
      </w:r>
      <w:r>
        <w:rPr>
          <w:rFonts w:ascii="Verdana" w:hAnsi="Verdana" w:cs="Verdana"/>
          <w:color w:val="262626"/>
        </w:rPr>
        <w:t> The objection period opens on May 21, 2020 and runs through July 20, 2020.</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Herein I will argue that the Forest has done a commendable but nevertheless objectionable job of advising stakeholders, the larger public, and policy makers about risk to the persistence of forested lands under its management. While the Forest has come a long way since it issued documents in preparation for the scoping period, it has fallen short of reporting requirements set out in the Administrative Practices Act, the National Forest Management Act, and the National Environmental Policy Act.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I have previously commended the Forest for its candor in reporting specifically on the risk and consequences of seedling/sapling (hereafter seedling) mortality in hotter and drier post-fire conditions. I stand by those post fire-specific, commendations, with important exceptions to be detailed below, and, in fact, those commendations set a base for my objections.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Herein, despite those commendations, I will document that the Forest has, however unintentionally, seriously misled stakeholders, the larger public, and policymakers at all levels, by misrepresenting the state of the forest it manages. This misrepresentation exists when the Forest says that, at some point in the future, “sites” on the forest it manages may shift to a novel ecosystem. This statement is a misrepresentation because that forest has already become a novel ecosystem, seems on a climate- and management-driven path to an even more novel ecosystem, and that an increasingly novel ecosystem will be forcing the Forest into novel management actions. This matter is of such considerable material interest to present and future generations of stakeholders, present and future members of the public, and present and future policymakers that I object to the Forest’s misrepresentation and consequent failure to provide clear and whole cloth reporting about it..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I will also make a case that, while the Forest has done a commendable job of providing scattered bits and pieces of information specific to post-fire seedling mortality, and thus post-fire risk of forest persistence, I will herein document that this same and pervasive scattering of important bits of information has considerable potential to mislead and even confuse stakeholders, the larger public, and policymakers at all levels about the challenge to the Forest’s stated intent of managing to maintain or sustain a popular status quo that the Forest frequently depicts in terms of resilience and integrity. I think and I think others will agree that risk does exist for misleading or even confusing stakeholders and others about plausibility of maintaining or sustaining a popular status quo of forest persistence/resilience. This too is of such considerable material interest to present — and future — generations that I object to the Forests failure of clear, coherent, and whole cloth reporting about it.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Moreover, I will demonstrate herein that, in contrast to coherent, clear, whole cloth disclosure, the Forest has unnecessarily and arbitrarily scattered information of clear material interest to present and future generations into bits and pieces that arbitrarily obscure forest conversion to a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000000"/>
        </w:rPr>
        <w:t>I hope this comment on commendations and objections will help the Forest add clarity that is currently lacking.</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r>
        <w:rPr>
          <w:rFonts w:ascii="Verdana" w:hAnsi="Verdana" w:cs="Verdana"/>
          <w:color w:val="262626"/>
        </w:rPr>
        <w:t>To begin with an example of the commendable, the Forest offers these three  factual and informative observations: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262626"/>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w:t>
      </w:r>
      <w:r>
        <w:rPr>
          <w:rFonts w:ascii="Verdana" w:hAnsi="Verdana" w:cs="Verdana"/>
          <w:color w:val="000000"/>
        </w:rPr>
        <w:t>Human activities such as fuel burning, industrial activities, land use change, animal husbandry, and agriculture lead to increases in ambient greenhouse gases (GHG’s), which contribute to the “greenhouse effect” (Melillo, Richmond, &amp; Yohe, 2014). Warming temperatures are the most certain consequence of increased carbon dioxide in the atmosphere (Halofsky et al., 2018a).”</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“Increasing air temperature, through its influence on soil moisture, is expected to cause gradual changes in the abundance and distribution of tree, shrub, and grass species throughout the Northern Rockies, with drought tolerant species becoming more competitive (J. E. Halofsky et al., 2018b)”</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“As a cornerstone, the Plan relies on desired condition envelopes that are informed by the natural range of variation (NRV), but also incorporate adjustments that reflect possible future conditions, such as allowing for more nonforested plant communities.”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These three above excerpts from FEIS Chapter 3 Part 1commendably serve to document a sequence of connected actions linking greenhouse gas emissions to warming temperatures, the warming temperatures’ effect on the ecosystem —including shift to a novel ecosystem increasing favored by drought tolerant species — and agency response via new and novel management actions. This description of connected progressive change forced on an ecosystem by climate change  is therefore illuminating, informative, and fully consistent with requirements of the Administrative Practices Act, the National Forest Management Act, and the National Environmental Protection Act.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Trouble is, the Forest has somehow decided — after lengthy deliberations requiring months-long delay in release of recent documents — not to present the three informative paragraphs as shown above.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Instead, the first paragraph is presented on page 304 of FEIS Chapter 3 Part 1, the second paragraph is on page 170 FEIS Chapter Chapter 3 part 1,</w:t>
      </w:r>
      <w:r>
        <w:rPr>
          <w:rFonts w:ascii="Verdana" w:hAnsi="Verdana" w:cs="Verdana"/>
          <w:color w:val="262626"/>
        </w:rPr>
        <w:t xml:space="preserve"> </w:t>
      </w:r>
      <w:r>
        <w:rPr>
          <w:rFonts w:ascii="Verdana" w:hAnsi="Verdana" w:cs="Verdana"/>
          <w:color w:val="000000"/>
        </w:rPr>
        <w:t>and the third paragraph on page 227 FEIS Chapter Chapter 3 part 1.</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This is just one of unnecessarily and arbitrarily disjointed disclosure of matters of material interest to stakeholders, the larger public, and policymakers.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While the Forest might argue that I cite these examples out of context, it is my argument here that the Forest itself has first cited them out of context. Alas, this is part of a consistent pattern repeated again and again. In fact, this very pattern is evident in the pages devoted to commendations in my first response , #44589, submitted on June 21, 2020; i.e., even a cursory review of those commendations will show that I had to pull together widely scattered bits and pieces of information in order to set a basis for those commendations.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To be clear, I stand by those commendations, and by my remark that the Forest has told it like it is. Those commendations were  based on the Forest’s candor about the specific risk to future timber output specifically originating with post-fire seedling mortality. This candor, albeit scattered in bits and pieces, did put the Forest in the unpopular position of challenging a popular hope of forest sustainability, and thus being the bearer of bad news about the future of timber output and associated livelihoods. I said and still see that candor as commendable.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However, and it’s a big however, the story of climate-driven risk to forests must be described in whole cloth, not in unnecessarily and arbitrarily scattered bits and pieces. Commendable though it may be to provide the scattered bits and pieces, that approach effectively, almost as if by design, raises completely unnecessary and arbitrary barriers to accessibility by stakeholders, the larger public, and policymakers.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This is especially objectionable when, in fact, the Forest has indeed demonstrated capability for at least approaching an integrated, whole cloth description. The Forest approached a more contextual report in its disclosure in the specific case of risk from seedling mortality spanning pages 169-173 of the FEIS Chapter 3 Part 1. It was in these 5 continues pages that, to its great credit, the Forest has volunteered a key bit of information on p. FEIS p 171;  “… forest resilience is dependent on tree regeneration.”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However, even this bit of information was unnecessarily and arbitrarily isolated from the equally key and plainly connected piece of information on p6 of FEIS Appendix J. Climate and Carbon, that  “It is possible that at some point in the future, the desired conditions as currently outlined in the 2020 Forest Plan may no longer be appropriate or achievable (for example, if sites shift to novel ecosystems). It is even possible that large disturbances and site-specific shifts could occur within the planning period.”</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All in all, the Forest has come a long way, and yet, it still has a long way to go.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So far, by scattering important bits and pieces of pieces of information willy-nilly, the Forest has effectively even if unintentionally, unnecessarily, arbitrarily and capriciously deprived stakeholders, the larger public, and policymakers at all levels that the forest it manages has already become a novel ecosystem not just on “sites” but across the forested lands as a whole, that it will inevitably become an even more novel ecosystem, and that it will trigger increasingly novel management actions as changing climate pressures persist.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I object to this totally unnecessary, arbitrary, and capricious scattering of information that is of clear material interest to stakeholders, the larger public, and policymakers.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There’s an especially compelling problem when the Forest says, on p. 6 of FEIS Appendix J. Climate and Carbon, that  “It is possible that at some point in the future, the desired conditions as currently outlined in the 2020 Forest Plan may no longer be appropriate or achievable (for example, if sites shift to novel ecosystems).”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The reference to “sites,’ although realistic enough in its own way, fails to advise stakeholders, the larger public, and policymakers that the ecosystem as a whole is, already, a novel ecosystem that will become even more novel and will lead to novel management actions.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I object to the Forest’s failure to report, in whole cloth, that the ecosystem as a whole is, now, already, a novel ecosystem that will become even more novel and will lead to novel management actions.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Again, I hope this comment and objection will help the Forest add clarity that is currently lacking — and all but absent in the largely vacuous draft Record of Decision.</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r>
        <w:rPr>
          <w:rFonts w:ascii="Verdana" w:hAnsi="Verdana" w:cs="Verdana"/>
          <w:b/>
          <w:bCs/>
          <w:color w:val="000000"/>
        </w:rPr>
        <w:t>1- Already a novel ecosystem : A broad-brush depiction</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p>
    <w:p w:rsidR="003033B1" w:rsidRDefault="003033B1" w:rsidP="003033B1">
      <w:pPr>
        <w:widowControl w:val="0"/>
        <w:autoSpaceDE w:val="0"/>
        <w:autoSpaceDN w:val="0"/>
        <w:adjustRightInd w:val="0"/>
        <w:spacing w:line="264" w:lineRule="auto"/>
        <w:rPr>
          <w:rFonts w:ascii="Verdana" w:hAnsi="Verdana" w:cs="Verdana"/>
          <w:color w:val="000000"/>
        </w:rPr>
      </w:pPr>
      <w:r>
        <w:rPr>
          <w:rFonts w:ascii="Verdana" w:hAnsi="Verdana" w:cs="Verdana"/>
          <w:color w:val="000000"/>
        </w:rPr>
        <w:t xml:space="preserve">Draft ROD Need for Change p.4 - “The 1986 Forest Plans for the Helena and Lewis &amp; Clark National Forests were prescriptive, inflexible, and redundant with law, regulation, and policy; as a result, they impeded efficient management of the Forests’ resources. At more than 30 years old, these plans exceeded the 10-15 year duration of plans intended by the National Forest Management Act. In addition, over the last 30 years, the social, economic, and ecological conditions across the Helena – Lewis and Clark National Forest have changed …”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While the above-noted change of “ecological conditions” may have arisen for more reasons than one, the noted change of these conditions in the recent 30 years does suggest an already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color w:val="000000"/>
        </w:rPr>
        <w:t>An example of this change seems strongly suggested  … “</w:t>
      </w:r>
      <w:r>
        <w:rPr>
          <w:rFonts w:ascii="Verdana" w:hAnsi="Verdana" w:cs="Verdana"/>
        </w:rPr>
        <w:t>However, some dry forest sites may convert to nonforested plant communities for a substantial amount of time, or permanently, following fires, especially in xeric settings or where no nearby seed source remains (Rother &amp; Veblen, 2016); (Stevens-Rumann et al., 2017). Such an example has already occurred in the northern Big Belts GA, where a severe fire in the 1980’s (followed by a reburn decades later) resulted in conversion of some ponderosa pine sites to grasslands.”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rPr>
        <w:t>So we have at least this one example of conversion to non forest, in the Forest’s own word, “already.”</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r>
        <w:rPr>
          <w:rFonts w:ascii="Verdana" w:hAnsi="Verdana" w:cs="Verdana"/>
          <w:color w:val="000000"/>
        </w:rPr>
        <w:t xml:space="preserve">Such change is further suggested as consistent with a broader pattern. in </w:t>
      </w:r>
      <w:r>
        <w:rPr>
          <w:rFonts w:ascii="Verdana" w:hAnsi="Verdana" w:cs="Verdana"/>
          <w:kern w:val="1"/>
        </w:rPr>
        <w:t>FEIS chap 3 part 1, p. 148, the Forest disclosed that, “</w:t>
      </w:r>
      <w:r>
        <w:rPr>
          <w:rFonts w:ascii="Verdana" w:hAnsi="Verdana" w:cs="Verdana"/>
          <w:color w:val="000000"/>
        </w:rPr>
        <w:t>increasing rates for forest decline have been concentrated in the western U.S. where extended droughts have coupled with increasingly high temperatures to create increasingly stressed and vulnerable forests (Cohen et al., 2016).”</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b/>
          <w:bCs/>
          <w:color w:val="000000"/>
        </w:rPr>
        <w:t>A plausible path to an increasingly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FEIS </w:t>
      </w:r>
      <w:r>
        <w:rPr>
          <w:rFonts w:ascii="Verdana" w:hAnsi="Verdana" w:cs="Verdana"/>
          <w:kern w:val="1"/>
        </w:rPr>
        <w:t xml:space="preserve">Chapter 3 part 1 </w:t>
      </w:r>
      <w:r>
        <w:rPr>
          <w:rFonts w:ascii="Verdana" w:hAnsi="Verdana" w:cs="Verdana"/>
          <w:color w:val="000000"/>
        </w:rPr>
        <w:t>p. 210—“If climatic temperatures continue to increase, there may be changes in vegetation where there is a shifting from more mesic (moist) plant associations to more xeric (dry) communities that are better adapted to the drier sites. As a result, it is expected that bare ground would increase within these plant communities as rangeland sites become drier during extended periods of drought (Pellant, Abbey, &amp; Karl, 2004).”</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FEIS </w:t>
      </w:r>
      <w:r>
        <w:rPr>
          <w:rFonts w:ascii="Verdana" w:hAnsi="Verdana" w:cs="Verdana"/>
          <w:kern w:val="1"/>
        </w:rPr>
        <w:t>Chapter 3 part 1 p.</w:t>
      </w:r>
      <w:r>
        <w:rPr>
          <w:rFonts w:ascii="Verdana" w:hAnsi="Verdana" w:cs="Verdana"/>
          <w:color w:val="000000"/>
        </w:rPr>
        <w:t xml:space="preserve"> 220 — “It is possible for climate change to impact resource use within a short timeframe, which could change the suitability and utilization of forage. For example, there have been periods of increased summer temperature and decreased summer precipitation over a 15- to 20-year planning period which would indicate that the potential for changes in the suitability and utilization of forage within a grazing allotment may change within a planning period.”</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These changes, like changes in timber output, are of material economic interest to stakeholders, the larger public, and policy makers, including material economic impact on livelihoods.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b/>
          <w:bCs/>
          <w:color w:val="000000"/>
        </w:rPr>
        <w:t>Novel management actions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FEIS Appendix J Carbon and Climate p 4 — “As a cornerstone, the Plan relies on desired condition envelopes that are informed by the natural range of variation (NRV), but also incorporate adjustments that reflect possible future conditions, such as allowing for more nonforested plant communities.”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FEIS Chapter 3 part 1 p 277 — “</w:t>
      </w:r>
      <w:r>
        <w:rPr>
          <w:rFonts w:ascii="Verdana" w:hAnsi="Verdana" w:cs="Verdana"/>
          <w:color w:val="000000"/>
        </w:rPr>
        <w:t>As the agency responds to climate change by new, different, or more land and vegetation management actions, those disturbances could provide suitable conditions for invasive plants.”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color w:val="000000"/>
        </w:rPr>
        <w:t xml:space="preserve">Alternatively, to avoid forest conversion to non forest, novel management action could consider that, </w:t>
      </w:r>
      <w:r>
        <w:rPr>
          <w:rFonts w:ascii="Verdana" w:hAnsi="Verdana" w:cs="Verdana"/>
          <w:color w:val="1F1F1F"/>
          <w:kern w:val="1"/>
        </w:rPr>
        <w:t xml:space="preserve">"The challenge for managers will be to consider the balance between retaining current species and encouraging colonization by new species.”  </w:t>
      </w:r>
      <w:r>
        <w:rPr>
          <w:rFonts w:ascii="Verdana" w:hAnsi="Verdana" w:cs="Verdana"/>
          <w:color w:val="000000"/>
          <w:kern w:val="1"/>
        </w:rPr>
        <w:t>Chris D. Thomas Phillipa K. Gillingham.</w:t>
      </w:r>
      <w:r>
        <w:rPr>
          <w:rFonts w:ascii="Verdana" w:hAnsi="Verdana" w:cs="Verdana"/>
          <w:color w:val="1F1F1F"/>
          <w:kern w:val="1"/>
        </w:rPr>
        <w:t>The performance of protected areas for biodiversity under climate change.</w:t>
      </w:r>
      <w:r>
        <w:rPr>
          <w:rFonts w:ascii="Verdana" w:hAnsi="Verdana" w:cs="Verdana"/>
          <w:b/>
          <w:bCs/>
          <w:color w:val="1F1F1F"/>
          <w:kern w:val="1"/>
        </w:rPr>
        <w:t xml:space="preserve"> </w:t>
      </w:r>
      <w:r>
        <w:rPr>
          <w:rFonts w:ascii="Verdana" w:hAnsi="Verdana" w:cs="Verdana"/>
          <w:i/>
          <w:iCs/>
          <w:color w:val="1F1F1F"/>
          <w:kern w:val="1"/>
        </w:rPr>
        <w:t>Biological Journal of the Linnean Society</w:t>
      </w:r>
      <w:r>
        <w:rPr>
          <w:rFonts w:ascii="Verdana" w:hAnsi="Verdana" w:cs="Verdana"/>
          <w:color w:val="1F1F1F"/>
          <w:kern w:val="1"/>
        </w:rPr>
        <w:t>, 1 July 2015, Pages 718–730</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b/>
          <w:bCs/>
          <w:kern w:val="1"/>
        </w:rPr>
        <w:t>2 - Already a novel ecosystem — risk of seedling mortality, regeneration failure, and lost resilience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Already a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page 172 FEIS, Chapter 3, Part 1 statement that, “However, some dry forest sites may convert to nonforested plant communities for a substantial amount of time, or permanently, following fires, especially in xeric settings or where no nearby seed source remains (Rother &amp; Veblen, 2016); (Stevens-Rumann et al., 2017).”</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Importantly, the Forest then immediately goes on to say, “Such an example has already occurred in the northern Big Belts GA, where a severe fire in the 1980’s (followed by a reburn decades later) resulted in conversion of some ponderosa pine sites to grasslands.”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kern w:val="1"/>
        </w:rPr>
      </w:pPr>
      <w:r>
        <w:rPr>
          <w:rFonts w:ascii="Verdana" w:hAnsi="Verdana" w:cs="Verdana"/>
          <w:color w:val="000000"/>
        </w:rPr>
        <w:t xml:space="preserve">What we see above is a description of risk climate-driven deforestation, with non-negligible potential for affecting the young of this generation and of future generations to come.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b/>
          <w:bCs/>
          <w:kern w:val="1"/>
        </w:rPr>
        <w:t>On a plausible path to an even more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This topic was already covered in the commendations cited my communication of June 21 #44589. However, it’s worth repeating</w:t>
      </w:r>
      <w:r>
        <w:rPr>
          <w:rFonts w:ascii="Verdana" w:hAnsi="Verdana" w:cs="Verdana"/>
          <w:color w:val="000000"/>
        </w:rPr>
        <w:t xml:space="preserve"> the </w:t>
      </w:r>
      <w:r>
        <w:rPr>
          <w:rFonts w:ascii="Verdana" w:hAnsi="Verdana" w:cs="Verdana"/>
          <w:kern w:val="1"/>
        </w:rPr>
        <w:t>the Forest’s own forward-looking heads-up comment on FEIS Appendix J Carbon and Climate p.4 ; “</w:t>
      </w:r>
      <w:r>
        <w:rPr>
          <w:rFonts w:ascii="Verdana" w:hAnsi="Verdana" w:cs="Verdana"/>
          <w:color w:val="000000"/>
        </w:rPr>
        <w:t>Plan direction, which emphasizes ecological integrity and resilience, will be critical to minimizing the undesirable effects of these increasing and interacting stressors. Nevertheless, managers and the public should expect climate change to drive changes on ecosystem structure, function and composition in the coming decades.”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And on a path to novel management actions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Novel management action might include, as suggested on FEIS Appendix J Carbon and Climate p.2 , “</w:t>
      </w:r>
      <w:r>
        <w:rPr>
          <w:rFonts w:ascii="Verdana" w:hAnsi="Verdana" w:cs="Verdana"/>
          <w:color w:val="000000"/>
        </w:rPr>
        <w:t xml:space="preserve">… allowing for more nonforested plant communities.”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b/>
          <w:bCs/>
          <w:color w:val="000000"/>
        </w:rPr>
        <w:t>3- Already a novel ecosystem : a more fire-driven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Chapter 3 Part 1 FEIS</w:t>
      </w: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&lt;&lt;</w:t>
      </w:r>
      <w:hyperlink r:id="rId5" w:history="1">
        <w:r>
          <w:rPr>
            <w:rFonts w:ascii="Verdana" w:hAnsi="Verdana" w:cs="Verdana"/>
            <w:color w:val="0000E9"/>
            <w:u w:val="single" w:color="0000E9"/>
          </w:rPr>
          <w:t>https://www.fs.usda.gov/Internet/FSE_DOCUMENTS/fseprd743366.pdf</w:t>
        </w:r>
      </w:hyperlink>
      <w:r>
        <w:rPr>
          <w:rFonts w:ascii="Verdana" w:hAnsi="Verdana" w:cs="Verdana"/>
          <w:color w:val="000000"/>
        </w:rPr>
        <w:t>&gt;&gt;</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 85 Chapter 3 Part 1 FEIS — “The Forest has experienced an increase in large fires over the last two decades.”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 129 Chapter 3 Part 1 FEIS — “Large fires have occurred across the plan area since 1940. The decade that saw the most acres burned was 1980-1989, during which over 500,000 acres burned on the HLC NFs. Acres burned and the number of large fires appears to have increased since 1980, as shown in Figure 4. The increase in burned area may be in part due to 1) fuel buildup caused by fire exclusion (especially in low severity regimes), 2) climatic conditions, 3) the influence of a warm/dry climate on vegetation, fire behavior, and effectiveness of suppression, 4) recent fire policies that have allowed natural fires to burn, and 5) more complete recordkeeping processes. The increase in acres burned is consistent with other observations in the northern Rockies. Westerling and others (2006), attribute increase in wildland fire frequency over the last twenty years to alterations in fire regimes due to climate changes.”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 363 Chapter 3 Part 1 FEIS — “In recent years, fires have occurred with increasing frequency, size, and severity.”</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b/>
          <w:bCs/>
          <w:color w:val="000000"/>
        </w:rPr>
        <w:t>Likely to become an even more novel, more fire-driven ecosystem</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P120 Chapter 3 Part 1 FEIS —“Under all alternatives, in addition to smoke emissions from land management activities, climate change would affect smoke emissions. Decreasing snowpack, earlier spring time conditions and snow melt, and longer, warmer fire seasons would increase the frequency and area burned by wildfires.”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 130 Chapter 3 Part 1 FEIS - “A comparison with fire acreages burned and modeled climate periods shows that stand replacing and mixed severity fires were at the higher end of their range in terms of the percent area burned during warm and dry climate periods. This may indicate that in the future, with expected warm and dry conditions, acres burned may be at the upper end of the NRV.”</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P 131 Chapter 3 Part 1 FEIS - “Of all the ongoing and foreseeable future actions that have the potential to affect fire, especially unwanted wildfire, climate change is likely to be the single most important factor. Regardless of alternative, the effects of climate change would likely combine with some of the effects that result from implementing the alternatives, to produce cumulative impacts. In general, the fire seasons are expected to become longer, large wildfires are expected to occur more often, and total area burned is expected to increase (J. E. Halofsky et al., 2018a).”</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FEIS Chapter 3 Part 1 p  170 - “Studies of potential effects of climate change on fire and insects/disease suggest the following may occur across the western U.S (J. E. Halofsky et al., 2018b): longer fire seasons, more days of high fire danger, increased frequency of ignitions, more frequent large fires, more episodes of extreme fire behavior, and increased average annual area burned; and elevated levels of native insects because they are able to migrate to new environments at a faster rate than trees. Mid-elevation forests are projected to have a high risk of climate-induced increase in fire, and increases in the area burned by fire are likely in lower and middle elevations of mountainous areas”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There was no necessity of scattering these above paragraphs across widely-spaced pages. Together, they convey matters of such high material concern that stakeholders, the larger public and policymakers should not have to dig, dig, and continue digging to pull bits and pieces together for themselves. The Forest has somehow, even if inadvertently, decided to make it difficult for all concerned to get a coherent depiction of an ecosystem being forced into novel conditions, even if only just from increasingly novel fire.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r>
        <w:rPr>
          <w:rFonts w:ascii="Verdana" w:hAnsi="Verdana" w:cs="Verdana"/>
          <w:b/>
          <w:bCs/>
          <w:color w:val="000000"/>
        </w:rPr>
        <w:t>Novel management actions in response to new, novel conditions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Thinning has a long history in forest management. It has been standard practice where management employs pre-commercial and commercial thinning of densely planted, closely-spaced seedlings following logging operations.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r>
        <w:rPr>
          <w:rFonts w:ascii="Verdana" w:hAnsi="Verdana" w:cs="Verdana"/>
          <w:color w:val="000000"/>
        </w:rPr>
        <w:t>It has become a novel application when and where employed to reduce risk of fire in a hotter, drier world. The Forest is already planning this novel application of a traditional technique.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r>
        <w:rPr>
          <w:rFonts w:ascii="Verdana" w:hAnsi="Verdana" w:cs="Verdana"/>
          <w:b/>
          <w:bCs/>
          <w:color w:val="000000"/>
        </w:rPr>
        <w:t xml:space="preserve">4 - Already a novel ecosystem — Timber harvest, logging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Already a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autoSpaceDE w:val="0"/>
        <w:autoSpaceDN w:val="0"/>
        <w:adjustRightInd w:val="0"/>
        <w:spacing w:line="280" w:lineRule="atLeast"/>
        <w:rPr>
          <w:rFonts w:ascii="Verdana" w:hAnsi="Verdana" w:cs="Verdana"/>
          <w:color w:val="000000"/>
        </w:rPr>
      </w:pPr>
      <w:r>
        <w:rPr>
          <w:rFonts w:ascii="Verdana" w:hAnsi="Verdana" w:cs="Verdana"/>
          <w:color w:val="000000"/>
        </w:rPr>
        <w:t>FEIS Chapter 3 Part 1 pp 273-274 - “Land use and land-cover change has undoubtedly been the underpinning for the successful establishment of invasive plant species (C. G. Parks et al., 2005). Locally, the rate of establishment and spread has been influenced by timber harvest, road building, grazing, and recreation. Most of these activities began on a large scale in the 1950s and 1960s on the HLC NF.</w:t>
      </w:r>
    </w:p>
    <w:p w:rsidR="003033B1" w:rsidRDefault="003033B1" w:rsidP="003033B1">
      <w:pPr>
        <w:widowControl w:val="0"/>
        <w:autoSpaceDE w:val="0"/>
        <w:autoSpaceDN w:val="0"/>
        <w:adjustRightInd w:val="0"/>
        <w:spacing w:line="280" w:lineRule="atLeast"/>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On path to becoming an even more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kern w:val="1"/>
        </w:rPr>
        <w:t>FEIS Appendix J Carbon and Climate p. — “</w:t>
      </w:r>
      <w:r>
        <w:rPr>
          <w:rFonts w:ascii="Verdana" w:hAnsi="Verdana" w:cs="Verdana"/>
        </w:rPr>
        <w:t>Climate-driven failures in species establishment further reduce the ability of forests to recover carbon lost after mortality-inducing events or harvests.”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 ability of forests to recover carbon lost after mortality inducing events or harvests.”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 or harvests.”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 xml:space="preserve">So far as I could determine, this is the Forest’s sole disclosure that post-logging regeneration of forest can be as difficult as it is post-fire. I ran searches of FEIS Chapter 3 and FEIS Appendix J for any reference to “post-logging” and found none. I ran searches of those documents for “post-harvest” and found none.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So, while the Forest did provide many scattered bits and pieces of information about risk of seedling mortality, thus failure of regeneration, and thus even a reduced timber output, is has, however inadvertently, made a decision to evade the risk of “Climate-driven failures in species establishment” after harvests a.k.a logging.</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It is even more objectionable that the Forest’s most explicit disclosure about effects of timber harvest a.k.a logging is isolated, relegated to a section on invasive plants, a topic I’ll return to in due course.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rPr>
        <w:t>Despite these recognized risks, the Forest plans to increase timber output during the lifetime of the Forest Plan, citing employment for present-generation adult livelihoods.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numPr>
          <w:ilvl w:val="0"/>
          <w:numId w:val="1"/>
        </w:numPr>
        <w:tabs>
          <w:tab w:val="left" w:pos="220"/>
          <w:tab w:val="left" w:pos="720"/>
        </w:tabs>
        <w:autoSpaceDE w:val="0"/>
        <w:autoSpaceDN w:val="0"/>
        <w:adjustRightInd w:val="0"/>
        <w:spacing w:line="216" w:lineRule="auto"/>
        <w:ind w:hanging="720"/>
        <w:rPr>
          <w:rFonts w:ascii="Verdana" w:hAnsi="Verdana" w:cs="Verdana"/>
          <w:color w:val="000000"/>
        </w:rPr>
      </w:pPr>
      <w:r>
        <w:rPr>
          <w:rFonts w:ascii="Verdana" w:hAnsi="Verdana" w:cs="Verdana"/>
          <w:color w:val="000000"/>
          <w:kern w:val="1"/>
        </w:rPr>
        <w:t>Draft  ROD P 15 —</w:t>
      </w:r>
      <w:r>
        <w:rPr>
          <w:rFonts w:ascii="Verdana" w:hAnsi="Verdana" w:cs="Verdana"/>
          <w:color w:val="000000"/>
        </w:rPr>
        <w:t xml:space="preserve">Forest products (primarily from timber harvest) will contribute\approximately $29.7 million in labor income ($23.7 million more than currently contributed under the 1986 Plans) and 616 jobs. </w:t>
      </w:r>
    </w:p>
    <w:p w:rsidR="003033B1" w:rsidRDefault="003033B1" w:rsidP="003033B1">
      <w:pPr>
        <w:widowControl w:val="0"/>
        <w:tabs>
          <w:tab w:val="left" w:pos="720"/>
        </w:tabs>
        <w:autoSpaceDE w:val="0"/>
        <w:autoSpaceDN w:val="0"/>
        <w:adjustRightInd w:val="0"/>
        <w:spacing w:line="216" w:lineRule="auto"/>
        <w:rPr>
          <w:rFonts w:ascii="Verdana" w:hAnsi="Verdana" w:cs="Verdana"/>
          <w:color w:val="000000"/>
        </w:rPr>
      </w:pPr>
    </w:p>
    <w:p w:rsidR="003033B1" w:rsidRDefault="003033B1" w:rsidP="003033B1">
      <w:pPr>
        <w:widowControl w:val="0"/>
        <w:numPr>
          <w:ilvl w:val="0"/>
          <w:numId w:val="2"/>
        </w:numPr>
        <w:tabs>
          <w:tab w:val="left" w:pos="220"/>
          <w:tab w:val="left" w:pos="720"/>
        </w:tabs>
        <w:autoSpaceDE w:val="0"/>
        <w:autoSpaceDN w:val="0"/>
        <w:adjustRightInd w:val="0"/>
        <w:ind w:hanging="720"/>
        <w:rPr>
          <w:rFonts w:ascii="Verdana" w:hAnsi="Verdana" w:cs="Verdana"/>
          <w:color w:val="000000"/>
        </w:rPr>
      </w:pPr>
      <w:r>
        <w:rPr>
          <w:rFonts w:ascii="Verdana" w:hAnsi="Verdana" w:cs="Verdana"/>
          <w:color w:val="000000"/>
          <w:kern w:val="1"/>
        </w:rPr>
        <w:t>Draft  ROD</w:t>
      </w:r>
      <w:r>
        <w:rPr>
          <w:rFonts w:ascii="Verdana" w:hAnsi="Verdana" w:cs="Verdana"/>
          <w:color w:val="000000"/>
        </w:rPr>
        <w:t xml:space="preserve">P 22 -Under alternative F, the Forest expects to produce an estimated average sawtimber volume of 20-35 million board feet per year over the next decade. With a higher budget or other opportunities to increase capacity (i.e., shared stewardship or other partnered efforts), the annual amount of timber volume could increase to approximately 38 million board feet per year. </w:t>
      </w:r>
    </w:p>
    <w:p w:rsidR="003033B1" w:rsidRDefault="003033B1" w:rsidP="003033B1">
      <w:pPr>
        <w:widowControl w:val="0"/>
        <w:tabs>
          <w:tab w:val="left" w:pos="720"/>
        </w:tabs>
        <w:autoSpaceDE w:val="0"/>
        <w:autoSpaceDN w:val="0"/>
        <w:adjustRightInd w:val="0"/>
        <w:rPr>
          <w:rFonts w:ascii="Verdana" w:hAnsi="Verdana" w:cs="Verdana"/>
        </w:rPr>
      </w:pPr>
    </w:p>
    <w:p w:rsidR="003033B1" w:rsidRDefault="003033B1" w:rsidP="003033B1">
      <w:pPr>
        <w:widowControl w:val="0"/>
        <w:tabs>
          <w:tab w:val="left" w:pos="720"/>
        </w:tabs>
        <w:autoSpaceDE w:val="0"/>
        <w:autoSpaceDN w:val="0"/>
        <w:adjustRightInd w:val="0"/>
        <w:rPr>
          <w:rFonts w:ascii="Verdana" w:hAnsi="Verdana" w:cs="Verdana"/>
          <w:color w:val="000000"/>
        </w:rPr>
      </w:pPr>
      <w:r>
        <w:rPr>
          <w:rFonts w:ascii="Verdana" w:hAnsi="Verdana" w:cs="Verdana"/>
        </w:rPr>
        <w:t>Given the plausible risk of post-harvest seedling mortality in hot, dry soils, and consequent failure of forest regeneration, the Forest certainly seems to present an unrealistically cheerful outlook when asserting, on p. 44 of its draft Record of Decision that, “</w:t>
      </w:r>
      <w:r>
        <w:rPr>
          <w:rFonts w:ascii="Verdana" w:hAnsi="Verdana" w:cs="Verdana"/>
          <w:color w:val="000000"/>
        </w:rPr>
        <w:t xml:space="preserve">The higher timber harvest levels under Alternative F versus alternatives B/C/D provides the Forest’s sustainable share of products and uses demanded by the public, with a higher probability of improving and restoring vegetation for future generations than alternative B/C/D.”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b/>
          <w:bCs/>
        </w:rPr>
        <w:t>Novel management action</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Given what the Forest knows and has disclosed — albeit in scattered bits and pieces — about seedling mortality post-fire, a plausible post-harvest management action would be allowing post-harvest conversion to non-forest for future generations. At a minimum, risk of post-logging seedling mortality and, thus, regeneration failure, raises questions about feasibility of the Forest’s oft-cited intent to manage for resilience, which is defined in the Glossary of the Forest Plan, p. 232 as, “the ability of a community to avoid alteration of its present state by a disturbance (Helms 1998).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b/>
          <w:bCs/>
          <w:kern w:val="1"/>
        </w:rPr>
        <w:t xml:space="preserve">5) Already a novel ecosystem : old growth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Already a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FEIS Chapter 3 Part 1 P 220 - “</w:t>
      </w:r>
      <w:r>
        <w:rPr>
          <w:rFonts w:ascii="Verdana" w:hAnsi="Verdana" w:cs="Verdana"/>
          <w:color w:val="000000"/>
        </w:rPr>
        <w:t>The average size of remaining old growth patches on all land ownerships are likely less than they were in the more recent past, particularly in areas where large patches were fragmented by harvest or development patterns.”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FEIS Chapter 3 Part 1</w:t>
      </w:r>
      <w:r>
        <w:rPr>
          <w:rFonts w:ascii="Verdana" w:hAnsi="Verdana" w:cs="Verdana"/>
          <w:color w:val="000000"/>
        </w:rPr>
        <w:t>P 244 - “Old growth is likely less abundant today than it was historically, whereas snags and coarse woody debris are likely similar to historic conditions.”</w:t>
      </w:r>
    </w:p>
    <w:p w:rsidR="003033B1" w:rsidRDefault="003033B1" w:rsidP="003033B1">
      <w:pPr>
        <w:widowControl w:val="0"/>
        <w:autoSpaceDE w:val="0"/>
        <w:autoSpaceDN w:val="0"/>
        <w:adjustRightInd w:val="0"/>
        <w:spacing w:line="280" w:lineRule="atLeast"/>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kern w:val="1"/>
        </w:rPr>
        <w:t xml:space="preserve">FEIS Chapter 3 Part 1 </w:t>
      </w:r>
      <w:r>
        <w:rPr>
          <w:rFonts w:ascii="Verdana" w:hAnsi="Verdana" w:cs="Verdana"/>
          <w:color w:val="000000"/>
        </w:rPr>
        <w:t>P 401 -  “Old growth is likely less abundant today than it was historically, whereas snags and coarse woody debris are likely similar to historic conditions.”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r>
        <w:rPr>
          <w:rFonts w:ascii="Verdana" w:hAnsi="Verdana" w:cs="Verdana"/>
          <w:b/>
          <w:bCs/>
          <w:kern w:val="1"/>
        </w:rPr>
        <w:t>On a path to an even more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Old growth is at risk if seedling mortality prevents establishment of a next generation forest. And, similarly to the seedlings, old growth is mentioned for its “key” ecological importance: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 xml:space="preserve">FEIS Chapter 3 Part 1 P 214 — </w:t>
      </w:r>
      <w:r>
        <w:rPr>
          <w:rFonts w:ascii="Verdana" w:hAnsi="Verdana" w:cs="Verdana"/>
          <w:color w:val="000000"/>
        </w:rPr>
        <w:t>Old growth, snags, and downed wood are structural components of forested vegetation that have been identified as key ecosystem characteristics for the HLC NF forest plan revision. The abundance, location, condition, and management of these attributes were raised as issues internally and externally.</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Alas, the Forest will face as much of challenge in providing for “old growth on the landscape” as it will have with seedlings, thanks to increasing heat and drought expected throughout the Northern Rockies (e.g., Halofsky et al 2018).</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Insofar as I could determine, the Forest makes only one passing reference to this risk among 380 references to old growth. That passing, fleeting disclosure was in FEIS Chapter 3 Part 1 P 224 — “To the extent that future forests may be at-risk to climate change, drought, and megadisturbances, old growth structures are also at risk.”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Any definition of old growth will include old trees, including tall ones . Indeed, tall old trees are what the public has in mind when thinking of old growth. Those trees are indeed at risk.</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McDowell and Allen (2015) found that “Drought and heat-induced tree mortality is accelerating in many forest biomes as a consequence of a warming climate, resulting in a threat to global forests unlike any in recorded history,” and that, “Plants that are tall with isohydric stomatal regulation, low hydraulic conductance, and high leaf area are most likely to die from future drought stress. Thus, tall trees of old-growth forests are at the greatest risk of loss.”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The risk of old growth loss, coupled with the risk of loss associated with seeding mortality, indicates a twofold risk to the Forest’s oft-stated intent to manage for forest resilience, including future timber output. But nowhere does the Forest disclose this combination of physical risks indicative of shift to a novel ecosystem.</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That said, McDowell and Allen have not been alone in finding risk to tall, old trees. Stovall et al (2019) have also reported findings suggesting that “future persistent drought may cause widespread mortality of the largest trees on Earth.”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Equally of interest, Xu et al (2018) report that, “While some studies have shown that large trees are more vulnerable to drought than smaller trees, others found that small trees are the more vulnerable.”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In examining the evidence, Xu et al found that trees both large and small are vulnerable to drought, and that, “Both local-scale and regional-scale data are consistent in showing that forests with medium canopy height (around 18 meters) showed the greatest resistance to severe drought.”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Xu et al (2018) thus confirmed the earlier Choat et al (2012) evidence of mortality risk at both ends of age/size spectrum; “Mortality is often skewed towards young trees but recent evidence suggests that large, old trees are also vulnerable</w:t>
      </w:r>
      <w:r>
        <w:rPr>
          <w:rFonts w:ascii="Verdana" w:hAnsi="Verdana" w:cs="Verdana"/>
          <w:color w:val="000000"/>
          <w:position w:val="8"/>
        </w:rPr>
        <w:t>30,31</w:t>
      </w:r>
      <w:r>
        <w:rPr>
          <w:rFonts w:ascii="Verdana" w:hAnsi="Verdana" w:cs="Verdana"/>
          <w:color w:val="000000"/>
        </w:rPr>
        <w:t xml:space="preserv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All of which indicates that,  for economic as well as for ecological reasons, it seems apparent that stakeholders, the larger public and policymakers need to know of this twofold risk of a novel ecosystem where persistence of trees at both ends of the age spectrum may not be assured.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With trees at both ends of the age/size spectrum at risk, the forest as a whole is at risk. Indeed, as the Forest itself says in FEIS Chapter 3 Part 1, p 170, “There is a body of science that indicates there are risks to the persistence of forests presented by climate change, drought, and disturbances.”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At a time when the young recognize growing threats to their future lives and livelihoods, climate-driven risk to the persistence of forests (e.g., Coop et al 2020, pdf uploaded earlier) has gained a new and rising urgency. It is of material interest, then, that the Forest specifically cites future generations in FEIS Chapter 3 Part 1 p.216 ;”Old growth on the NFs will be managed to provide the foregoing values for present and future generations.”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Given what’s known, this may be difficult indeed. This difficulty raises questions about feasibility of the Forest’s oft-cited intent to manage for resilience, which is defined in the Glossary of the Forest Plan, p. 232 as, “the ability of a community to avoid alteration of its present state by a disturbance (Helms 1998).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color w:val="000000"/>
        </w:rPr>
        <w:t xml:space="preserv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color w:val="000000"/>
        </w:rPr>
        <w:t xml:space="preserve">6 - </w:t>
      </w:r>
      <w:r>
        <w:rPr>
          <w:rFonts w:ascii="Verdana" w:hAnsi="Verdana" w:cs="Verdana"/>
          <w:b/>
          <w:bCs/>
          <w:kern w:val="1"/>
        </w:rPr>
        <w:t xml:space="preserve">Already a novel ecosystem — overall reduced forest growth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rPr>
      </w:pPr>
      <w:r>
        <w:rPr>
          <w:rFonts w:ascii="Verdana" w:hAnsi="Verdana" w:cs="Verdana"/>
          <w:b/>
          <w:bCs/>
          <w:kern w:val="1"/>
        </w:rPr>
        <w:t>Already a novel ecosystem since 1950, as slower forest growth reduced forest carbon stocks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 xml:space="preserve">FEIS Chapter 3 Part 1 p. 19 </w:t>
      </w:r>
      <w:r>
        <w:rPr>
          <w:rFonts w:ascii="Verdana" w:hAnsi="Verdana" w:cs="Verdana"/>
          <w:b/>
          <w:bCs/>
          <w:kern w:val="1"/>
        </w:rPr>
        <w:t xml:space="preserve">- </w:t>
      </w:r>
      <w:r>
        <w:rPr>
          <w:rFonts w:ascii="Verdana" w:hAnsi="Verdana" w:cs="Verdana"/>
          <w:kern w:val="1"/>
        </w:rPr>
        <w:t>“</w:t>
      </w:r>
      <w:r>
        <w:rPr>
          <w:rFonts w:ascii="Verdana" w:hAnsi="Verdana" w:cs="Verdana"/>
          <w:color w:val="000000"/>
        </w:rPr>
        <w:t>The modeled effects of variability in temperature and precipitation on carbon stocks has varied from year-to-year, but overall, climate since 1950 has had a negative effect on carbon stocks in the HLC NF relative to other factors (Fig. 10). Warmer temperatures can increase forest carbon emissions through enhanced soil microbial activity and higher respiration (Ju, Chen, Harvey, &amp; Wang, 2007; Melillo et al., 2017), but warming temperatures can also reduce soil moisture through increased evapotranspiration, causing lower forest growth (Xu et al., 2013).”</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b/>
          <w:bCs/>
          <w:color w:val="000000"/>
        </w:rPr>
        <w:t xml:space="preserve">Plausibly on path to even more novel ecosystem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kern w:val="1"/>
        </w:rPr>
        <w:t>FEIS Appendix J Carbon and Climate P 23 - “</w:t>
      </w:r>
      <w:r>
        <w:rPr>
          <w:rFonts w:ascii="Verdana" w:hAnsi="Verdana" w:cs="Verdana"/>
        </w:rPr>
        <w:t>Elevated temperatures may increase soil respiration and reduce soil moisture through increased evapotranspiration, which would negatively affect growth rates and carbon accumulation (Ju et al., 2007; Melillo et al., 2017). Modeled results of recent climate effects using the InTEC model indicate that years with elevated temperatures have generally had a negative effect on carbon uptake in the HLC NF (Figure 10).”</w:t>
      </w:r>
    </w:p>
    <w:p w:rsidR="003033B1" w:rsidRDefault="003033B1" w:rsidP="003033B1">
      <w:pPr>
        <w:widowControl w:val="0"/>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kern w:val="1"/>
        </w:rPr>
        <w:t xml:space="preserve">FEIS Appendix J Carbon and Climate P 23 - </w:t>
      </w:r>
      <w:r>
        <w:rPr>
          <w:rFonts w:ascii="Verdana" w:hAnsi="Verdana" w:cs="Verdana"/>
        </w:rPr>
        <w:t>“Growing sites on the HLC NF are generally moisture-limited. Therefore, warm/dry climatic periods generally result in slower growth.”</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kern w:val="1"/>
        </w:rPr>
        <w:t xml:space="preserve">FEIS Appendix J Carbon and Climate P 23 - </w:t>
      </w:r>
      <w:r>
        <w:rPr>
          <w:rFonts w:ascii="Verdana" w:hAnsi="Verdana" w:cs="Verdana"/>
        </w:rPr>
        <w:t>“</w:t>
      </w:r>
      <w:r>
        <w:rPr>
          <w:rFonts w:ascii="Verdana" w:hAnsi="Verdana" w:cs="Verdana"/>
          <w:color w:val="000000"/>
        </w:rPr>
        <w:t>Thus, it will be important for forest managers to continue to monitor forest responses to these changes and potentially alter management activities to better enable forests to better adapt to future conditions.”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rPr>
      </w:pPr>
      <w:r>
        <w:rPr>
          <w:rFonts w:ascii="Verdana" w:hAnsi="Verdana" w:cs="Verdana"/>
          <w:color w:val="000000"/>
        </w:rPr>
        <w:t xml:space="preserve">All the above raise questions about feasibility of the Forest’s oft-cited intent to manage for resilience, which is defined in the Glossary of the Forest Plan, p. 232 as, “the ability of a community to avoid alteration of its present state by a disturbance (Helms 1998).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rPr>
      </w:pPr>
      <w:r>
        <w:rPr>
          <w:rFonts w:ascii="Verdana" w:hAnsi="Verdana" w:cs="Verdana"/>
          <w:color w:val="000000"/>
        </w:rPr>
        <w:t xml:space="preserve"> </w:t>
      </w:r>
    </w:p>
    <w:p w:rsidR="003033B1" w:rsidRDefault="003033B1" w:rsidP="003033B1">
      <w:pPr>
        <w:widowControl w:val="0"/>
        <w:autoSpaceDE w:val="0"/>
        <w:autoSpaceDN w:val="0"/>
        <w:adjustRightInd w:val="0"/>
        <w:rPr>
          <w:rFonts w:ascii="Verdana" w:hAnsi="Verdana" w:cs="Verdana"/>
        </w:rPr>
      </w:pPr>
    </w:p>
    <w:p w:rsidR="003033B1" w:rsidRDefault="003033B1" w:rsidP="003033B1">
      <w:pPr>
        <w:widowControl w:val="0"/>
        <w:autoSpaceDE w:val="0"/>
        <w:autoSpaceDN w:val="0"/>
        <w:adjustRightInd w:val="0"/>
        <w:rPr>
          <w:rFonts w:ascii="Verdana" w:hAnsi="Verdana" w:cs="Verdana"/>
        </w:rPr>
      </w:pPr>
      <w:r>
        <w:rPr>
          <w:rFonts w:ascii="Verdana" w:hAnsi="Verdana" w:cs="Verdana"/>
          <w:b/>
          <w:bCs/>
        </w:rPr>
        <w:t>Novel management actions</w:t>
      </w:r>
    </w:p>
    <w:p w:rsidR="003033B1" w:rsidRDefault="003033B1" w:rsidP="003033B1">
      <w:pPr>
        <w:widowControl w:val="0"/>
        <w:autoSpaceDE w:val="0"/>
        <w:autoSpaceDN w:val="0"/>
        <w:adjustRightInd w:val="0"/>
        <w:rPr>
          <w:rFonts w:ascii="Verdana" w:hAnsi="Verdana" w:cs="Verdana"/>
          <w:b/>
          <w:bCs/>
          <w:color w:val="000000"/>
        </w:rPr>
      </w:pPr>
      <w:r>
        <w:rPr>
          <w:rFonts w:ascii="Verdana" w:hAnsi="Verdana" w:cs="Verdana"/>
        </w:rPr>
        <w:t>Combined climate-driven risk of seedling mortality, old growth mortality, reduced overall forest growth, and younger generation concern about future lives and livelihoods might plausibly hasten demand/need for amendment of the Forest’s 2020 Forest Plan, with new FEIS and ROD. Amendment of a Forest Plan is infrequent enough to be at least somewhat a novelty.</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color w:val="000000"/>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E9"/>
          <w:u w:val="single" w:color="0000E9"/>
        </w:rPr>
      </w:pPr>
      <w:r>
        <w:rPr>
          <w:rFonts w:ascii="Verdana" w:hAnsi="Verdana" w:cs="Verdana"/>
          <w:b/>
          <w:bCs/>
          <w:color w:val="000000"/>
        </w:rPr>
        <w:t>7 - Already a novel ecosystem - invasive plants</w:t>
      </w:r>
    </w:p>
    <w:p w:rsidR="003033B1" w:rsidRDefault="003033B1" w:rsidP="003033B1">
      <w:pPr>
        <w:widowControl w:val="0"/>
        <w:autoSpaceDE w:val="0"/>
        <w:autoSpaceDN w:val="0"/>
        <w:adjustRightInd w:val="0"/>
        <w:spacing w:line="280" w:lineRule="atLeast"/>
        <w:rPr>
          <w:rFonts w:ascii="Verdana" w:hAnsi="Verdana" w:cs="Verdana"/>
          <w:color w:val="0000E9"/>
          <w:u w:val="single" w:color="0000E9"/>
        </w:rPr>
      </w:pPr>
    </w:p>
    <w:p w:rsidR="003033B1" w:rsidRDefault="003033B1" w:rsidP="003033B1">
      <w:pPr>
        <w:widowControl w:val="0"/>
        <w:autoSpaceDE w:val="0"/>
        <w:autoSpaceDN w:val="0"/>
        <w:adjustRightInd w:val="0"/>
        <w:spacing w:line="280" w:lineRule="atLeast"/>
        <w:rPr>
          <w:rFonts w:ascii="Verdana" w:hAnsi="Verdana" w:cs="Verdana"/>
          <w:color w:val="0000E9"/>
          <w:u w:val="single" w:color="0000E9"/>
        </w:rPr>
      </w:pPr>
      <w:r>
        <w:rPr>
          <w:rFonts w:ascii="Verdana" w:hAnsi="Verdana" w:cs="Verdana"/>
          <w:b/>
          <w:bCs/>
          <w:color w:val="000000"/>
          <w:u w:color="0000E9"/>
        </w:rPr>
        <w:t>Already a novel ecosystem</w:t>
      </w:r>
    </w:p>
    <w:p w:rsidR="003033B1" w:rsidRDefault="003033B1" w:rsidP="003033B1">
      <w:pPr>
        <w:widowControl w:val="0"/>
        <w:autoSpaceDE w:val="0"/>
        <w:autoSpaceDN w:val="0"/>
        <w:adjustRightInd w:val="0"/>
        <w:spacing w:line="280" w:lineRule="atLeast"/>
        <w:rPr>
          <w:rFonts w:ascii="Verdana" w:hAnsi="Verdana" w:cs="Verdana"/>
          <w:color w:val="0000E9"/>
          <w:u w:val="single"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 xml:space="preserve">FEIS Chapter 3 Part 1 </w:t>
      </w:r>
      <w:r>
        <w:rPr>
          <w:rFonts w:ascii="Verdana" w:hAnsi="Verdana" w:cs="Verdana"/>
          <w:color w:val="000000"/>
          <w:u w:color="0000E9"/>
        </w:rPr>
        <w:t>Pp 273-274 - “Land use and land-cover change has undoubtedly been the underpinning for the successful establishment of invasive plant species (C. G. Parks et al., 2005). Locally, the rate of establishment and spread has been influenced by timber harvest, road building, grazing, and recreation. Most of these activities began on a large scale in the 1950s and 1960s on the HLC NF.</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 xml:space="preserve">p 44  - “Species of invasive annual grasses are extremely competitive, crowding out native vegetation, and have exhibited the ability to rapidly expand in multiple habitat types. Once annual grasses establish, they present a direct threat to ecosystem function by decreasing native plant community diversity, altering fire return intervals, diminishing the quality of wildlife habitat, and reducing livestock carrying capacity.Species such as downy brome (Bromus tectorum), Japanese brome (Bromus japonicus), and ventenata (Ventenata dubia) are present or have been recently found in the plan area.”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autoSpaceDE w:val="0"/>
        <w:autoSpaceDN w:val="0"/>
        <w:adjustRightInd w:val="0"/>
        <w:spacing w:line="280" w:lineRule="atLeast"/>
        <w:rPr>
          <w:rFonts w:ascii="Verdana" w:hAnsi="Verdana" w:cs="Verdana"/>
          <w:b/>
          <w:bCs/>
          <w:color w:val="000000"/>
          <w:u w:color="0000E9"/>
        </w:rPr>
      </w:pPr>
      <w:r>
        <w:rPr>
          <w:rFonts w:ascii="Verdana" w:hAnsi="Verdana" w:cs="Verdana"/>
          <w:b/>
          <w:bCs/>
          <w:color w:val="000000"/>
          <w:u w:color="0000E9"/>
        </w:rPr>
        <w:t>An increasingly novel ecosystem</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 xml:space="preserve">P - 170 - “Whether it is invasive species, drought, uncharacteristic wildfires, elevated native insects and disease levels, unusually high forest densities, or some other agent or combination of agents that serves to stress trees and forest ecosystems; recent research suggests that climate change will likely exacerbate those stressors and “stress complexes” will manifest themselves (J. E. Halofsky et al., 2018b).”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P 261 - “Roads increase access to sensitive habitats and can fragment habitat, thus, providing an avenue for invasive plant species.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 xml:space="preserve">P 272 - “Measurement Indicators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color w:val="000000"/>
          <w:u w:color="0000E9"/>
        </w:rPr>
        <w:t xml:space="preserve">The following are indicators used for the analysis of invasive species: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color w:val="000000"/>
          <w:u w:color="0000E9"/>
        </w:rPr>
        <w:t xml:space="preserve">• Acres of timber harvest, measured as a qualitative correlation between acres treated or harvested and the potential for ground disturbance at risk for weed invasion.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color w:val="000000"/>
          <w:u w:color="0000E9"/>
        </w:rPr>
        <w:t xml:space="preserve">• Areas suitable to motorized road and trail use, measured as miles of roads and motorized trails that could serve as pathways for invasive plant introduction and spread.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color w:val="000000"/>
          <w:u w:color="0000E9"/>
        </w:rPr>
        <w:t xml:space="preserve">• Acres affected by management changes to livestock grazing, measured as a qualitative assessment of potential changes in disturbance from livestock grazing projects and practices. </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color w:val="000000"/>
          <w:u w:color="0000E9"/>
        </w:rPr>
        <w:t>• Acres disturbed by fire activity, measured as acres burned by prescribed or wildfire events.</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P 276 - “Changes to the landscape with warmer temperatures, associated drier conditions, and more severe or frequent droughts, may lead to more frequent fires and may increase the ability of invasive plants to out-compete native plants in the future.”</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P 276 - “Invasive species will continue to have a presence on the HLC NF landscape, with existing infestations and continual introductions of new invaders.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P 277 - ”Warmer temperatures, and associated drier conditions, more severe or frequent droughts, and more favorable conditions for wildland fire may increase the ability of invasive plants to establish and out-compete native plants. These changes may provide more opportunities for invasive plants to gain an advantage over native species and spread within and beyond the HLC NF’s boundaries. This potential effect is common to all alternatives.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FEIS Chapter 3 part 1 p 277 — “</w:t>
      </w:r>
      <w:r>
        <w:rPr>
          <w:rFonts w:ascii="Verdana" w:hAnsi="Verdana" w:cs="Verdana"/>
          <w:color w:val="000000"/>
          <w:u w:color="0000E9"/>
        </w:rPr>
        <w:t>As the agency responds to climate change by new, different, or more land and vegetation management actions, those disturbances could provide suitable conditions for invasive plants.”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All the above, and perhaps especially the FEIS Chapter 3 Part 1 p. 44 observation that, “Once annual grasses establish, they present a direct threat to ecosystem function,” raise questions about the Forest’s oft-mentioned intent to manage for resilience, which is defined in the Glossary of the Forest Plan, p. 232 as, “the ability of a community to avoid alteration of its present state by a disturbance (Helms 1998).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It also raises questions about the state of the Northcentral Montana forests we are handing to today’s young, and to future generations.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autoSpaceDE w:val="0"/>
        <w:autoSpaceDN w:val="0"/>
        <w:adjustRightInd w:val="0"/>
        <w:spacing w:line="280" w:lineRule="atLeast"/>
        <w:rPr>
          <w:rFonts w:ascii="Verdana" w:hAnsi="Verdana" w:cs="Verdana"/>
          <w:b/>
          <w:bCs/>
          <w:color w:val="000000"/>
          <w:u w:color="0000E9"/>
        </w:rPr>
      </w:pPr>
    </w:p>
    <w:p w:rsidR="003033B1" w:rsidRDefault="003033B1" w:rsidP="003033B1">
      <w:pPr>
        <w:widowControl w:val="0"/>
        <w:autoSpaceDE w:val="0"/>
        <w:autoSpaceDN w:val="0"/>
        <w:adjustRightInd w:val="0"/>
        <w:spacing w:line="280" w:lineRule="atLeast"/>
        <w:rPr>
          <w:rFonts w:ascii="Verdana" w:hAnsi="Verdana" w:cs="Verdana"/>
          <w:color w:val="000000"/>
          <w:u w:color="0000E9"/>
        </w:rPr>
      </w:pPr>
      <w:r>
        <w:rPr>
          <w:rFonts w:ascii="Verdana" w:hAnsi="Verdana" w:cs="Verdana"/>
          <w:b/>
          <w:bCs/>
          <w:color w:val="000000"/>
          <w:u w:color="0000E9"/>
        </w:rPr>
        <w:t>Novel management actions; i.e., actions that were not required before the increasing influence of invasive plants</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FEIS Chapter 3 Part 1 </w:t>
      </w:r>
      <w:r>
        <w:rPr>
          <w:rFonts w:ascii="Verdana" w:hAnsi="Verdana" w:cs="Verdana"/>
          <w:color w:val="000000"/>
          <w:u w:color="0000E9"/>
        </w:rPr>
        <w:t>P 88 - “Invasive plants are often treated using an integrated approach, with a combination of control methods that include mechanical, biological agents, and herbicides.”</w:t>
      </w:r>
    </w:p>
    <w:p w:rsidR="003033B1" w:rsidRDefault="003033B1" w:rsidP="003033B1">
      <w:pPr>
        <w:widowControl w:val="0"/>
        <w:autoSpaceDE w:val="0"/>
        <w:autoSpaceDN w:val="0"/>
        <w:adjustRightInd w:val="0"/>
        <w:spacing w:line="280" w:lineRule="atLeast"/>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r>
        <w:rPr>
          <w:rFonts w:ascii="Verdana" w:hAnsi="Verdana" w:cs="Verdana"/>
          <w:kern w:val="1"/>
          <w:u w:color="0000E9"/>
        </w:rPr>
        <w:t xml:space="preserve">FEIS Chapter 3 Part 1 </w:t>
      </w:r>
      <w:r>
        <w:rPr>
          <w:rFonts w:ascii="Verdana" w:hAnsi="Verdana" w:cs="Verdana"/>
          <w:color w:val="000000"/>
          <w:u w:color="0000E9"/>
        </w:rPr>
        <w:t xml:space="preserve">P 278 - “Targeted objectives for invasive plant control are an administrative change that promotes measurable objectives and accountability to the program toward reaching desired conditions.”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r>
        <w:rPr>
          <w:rFonts w:ascii="Verdana" w:hAnsi="Verdana" w:cs="Verdana"/>
          <w:b/>
          <w:bCs/>
          <w:kern w:val="1"/>
          <w:u w:color="0000E9"/>
        </w:rPr>
        <w:t>8 - A review</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I believe that I’ve herein presented a defensible, clear and coherent — albeit detailed — whole cloth depiction of already novel Northcentral Montana forest ecosystem on a path to even more novel conditions that are, in some cases, already demanding novel management actions. I also believe that stakeholders, the larger public, policymakers and the youth who will inherit this ecosyst</w:t>
      </w:r>
      <w:r w:rsidR="00407D9D">
        <w:rPr>
          <w:rFonts w:ascii="Verdana" w:hAnsi="Verdana" w:cs="Verdana"/>
          <w:kern w:val="1"/>
          <w:u w:color="0000E9"/>
        </w:rPr>
        <w:t>em will not find anywhere near s</w:t>
      </w:r>
      <w:r>
        <w:rPr>
          <w:rFonts w:ascii="Verdana" w:hAnsi="Verdana" w:cs="Verdana"/>
          <w:kern w:val="1"/>
          <w:u w:color="0000E9"/>
        </w:rPr>
        <w:t xml:space="preserve">o clear and coherent, whole cloth depiction in the Forest’s Record of Decision or Forest Plan.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b/>
          <w:bCs/>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 xml:space="preserve">To its credit, on page 170, Chapter 3, part 1 of the FEIS, the Forest does cite a critical consideration when quoting </w:t>
      </w:r>
      <w:r>
        <w:rPr>
          <w:rFonts w:ascii="Verdana" w:hAnsi="Verdana" w:cs="Verdana"/>
          <w:color w:val="000000"/>
          <w:u w:color="0000E9"/>
        </w:rPr>
        <w:t xml:space="preserve">J. E. Halofsky et al (2018b). </w:t>
      </w:r>
      <w:r>
        <w:rPr>
          <w:rFonts w:ascii="Verdana" w:hAnsi="Verdana" w:cs="Verdana"/>
          <w:kern w:val="1"/>
          <w:u w:color="0000E9"/>
        </w:rPr>
        <w:t>“</w:t>
      </w:r>
      <w:r>
        <w:rPr>
          <w:rFonts w:ascii="Verdana" w:hAnsi="Verdana" w:cs="Verdana"/>
          <w:color w:val="000000"/>
          <w:u w:color="0000E9"/>
        </w:rPr>
        <w:t>Increasing air temperature, through its influence on soil moisture, is expected to cause gradual changes in the abundance and distribution of tree, shrub, and grass species throughout the Northern Rockies, with drought tolerant species becoming more competitive.”</w:t>
      </w:r>
      <w:r>
        <w:rPr>
          <w:rFonts w:ascii="Verdana" w:hAnsi="Verdana" w:cs="Verdana"/>
          <w:kern w:val="1"/>
          <w:u w:color="0000E9"/>
        </w:rPr>
        <w:t xml:space="preserv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This above quote from Halofsky et al is rich in meaning for the novel forest scenario:</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Their reference to changes in “abundance” of species alone suggests a novel forest (with fairly clear implications for timber output).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Their reference to changes of “distribution” of species alone suggests a novel forest</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r>
        <w:rPr>
          <w:rFonts w:ascii="Verdana" w:hAnsi="Verdana" w:cs="Verdana"/>
          <w:kern w:val="1"/>
          <w:u w:color="0000E9"/>
        </w:rPr>
        <w:t xml:space="preserve">Their reference to changing competitiveness of “drought tolerant” species suggests a novel forest.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kern w:val="1"/>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Moreover, the above FEIS page 170 reference to J.E. Halofsky et al (2018b) follows on the heels of a similar Forest disclosure on FEIS page 168, indicating that “ …management within that context may be important to reduce the potential for forest decline and/or ease transitions into new, more resilient states (Cohen et al., 2016; Golladay et al., 2016; J. Halofsky &amp; Peterson, 2016; Millar &amp; Stephenson, 2015).”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These references to Golladay et al and to Millar &amp; Stephenson are particularly interesting. So it is unfortunate that, while the Forest did quote directly from Halofsky et al, it somehow decided, during extended consideration requiring months of delay, not quote directly from either Golladay et al or Millar &amp; Stephenson.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For example, Golladay et al contend that, “traditional approaches to forest conservation and management will be inadequate given the predicted scale of social-economic and biophysical changes in the 21st century. New approaches, focused on anticipating and guiding ecological responses to change, are urgently needed to ensure the full value of forest ecosystem services for future generations. These approaches acknowledge that change is inevitable and sometimes irreversible, and that maintenance of ecosystem services depends in part on novel ecosystems, i.e., species combinations with no analog in the past.”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While the Forest does make one, lone reference to Golladay et al in FEIS Chapter 3, it evades a fuller disclosure when it fails to quote their highly informative references specific to “inevitable” change.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And while the Forest does refer to Millar and Stephenson, it somehow decided after lengthy consideration including months of delay not to directly quote their own reference to “inevitable” change; “Although thresholds are likely to be approached in the future, and changes are inevitable, the actions we take now in temperate forests can ease and guide transitions, diminishing effects to forest ecosystems and human societies.”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Inevitability of change is something that all concerned need opportunity to consider.</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kern w:val="1"/>
          <w:u w:color="0000E9"/>
        </w:rPr>
        <w:t xml:space="preserve">And, similarly to the Golladay et conclusion that </w:t>
      </w:r>
      <w:r>
        <w:rPr>
          <w:rFonts w:ascii="Verdana" w:hAnsi="Verdana" w:cs="Verdana"/>
          <w:color w:val="000000"/>
          <w:u w:color="0000E9"/>
        </w:rPr>
        <w:t>“traditional approaches to forest conservation and management will be inadequate given the predicted scale of social-economic and biophysical changes in the 21st century</w:t>
      </w:r>
      <w:r>
        <w:rPr>
          <w:rFonts w:ascii="Verdana" w:hAnsi="Verdana" w:cs="Verdana"/>
          <w:kern w:val="1"/>
          <w:u w:color="0000E9"/>
        </w:rPr>
        <w:t>,” Millar and Stephenson conclude that, “</w:t>
      </w:r>
      <w:r>
        <w:rPr>
          <w:rFonts w:ascii="Verdana" w:hAnsi="Verdana" w:cs="Verdana"/>
          <w:color w:val="000000"/>
          <w:u w:color="0000E9"/>
        </w:rPr>
        <w:t xml:space="preserve">Whereas in recent decades, promoting resilience has been a widespread goal of forest management, the increasing pressure of chronic and acute disturbances is pushing many temperate forests toward and over resilience thresholds,” and go on to report that “The changes could range from minor shifts in forest structure (e.g., tree density and ages) and species compositions to major transformation of vegetation types, some resulting in novel ecosystems relative to recent centuries.”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The Forest has also somehow decided not to quote Millar and Stephenson on triage as a plausibly necessary management action; “…triage exercises will almost certainly be necessary.”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Moreover, while the Forest makes passing references to the similar paper by Millar, Stephenson, and Stevens (2007) in Appendix J Climate and Carbon, it somehow decided, during extended consideration requiring delays,  not to quote their conclusion that, “Priority-setting approaches (e.g., triage), appropriate for rapidly changing conditions and for situations where needs are greater than available capacity to respond, will become increasingly important in the future.”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Triage is thus cited twice in documents the Forest cites, and yet the Forest somehow elects not to disclose for stakeholders and larger public that it has been the subject of serious scientific consideration. Perhaps worse, the Forest will find that I referred specifically to triage in comments submitted during or shortly after the scoping period</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To its discredit, the Forest makes no mention of an utterly plausible and possibly inevitable shift to novel ecosytems in the draft ROD, Appendix J Climate and Carbon, or in either Part 1 or Part 2 of FEIS Chapter 3.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Likewise, there is no mention of priority setting via triage n the draft ROD, Appendix J Climate and Carbon, or in either Part 1 or Part 2 of FEIS Chapter 3.</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To its credit, the Forest does say, on page 4 of Appendix J Climate and Carbon, that,</w:t>
      </w:r>
      <w:r>
        <w:rPr>
          <w:rFonts w:ascii="Verdana" w:hAnsi="Verdana" w:cs="Verdana"/>
          <w:color w:val="000000"/>
          <w:kern w:val="1"/>
          <w:u w:color="0000E9"/>
        </w:rPr>
        <w:t>“</w:t>
      </w:r>
      <w:r>
        <w:rPr>
          <w:rFonts w:ascii="Verdana" w:hAnsi="Verdana" w:cs="Verdana"/>
          <w:color w:val="000000"/>
          <w:u w:color="0000E9"/>
        </w:rPr>
        <w:t xml:space="preserve">It is possible that at some point in the future, the desired conditions as currently outlined in the 2020 Forest Plan may no longer be appropriate or achievable (for example, if sites shift to novel ecosystems).”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But framing the problem as merely “possible” strips important meat from the bones by failing to disclose scientists’ opinions of possibly “inevitable” change, and, adding to the problem, failing to disclose potential demand for giving some priority to triage.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These are issues that stakeholders, the larger public, and policymakers at every level need to know. Withholding them from public view deprives stakeholders, the larger public, and policymakers of opportunity to let the implications sink in, even if the Forest has no immediate intention to implement them.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Because triage, for example, will certainly generate controversy, it is far better to bring them this potential forest management strategy into discussion now than to kick it down the road to some future management action.</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In another example of this objectionable lack of explicit disclosure, stakeholders, the larger public, and policymakers at every level also need to know what the Forest knows about assisted migration as a possible strategy for effecting a novel forest where persistence of today’s familiar (especially conifer) forest is no longer achievable.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However, the Forest only makes quick, brief, passing mention of assisted migration, on page 181, FEIS Chapter 3, Part 1 : “For example, assisted migration actions may not necessarily mean moving plants far distances, but rather moving genotypes, seed sources, and tree populations to areas with predicted suitable climatic conditions with the goal of avoiding maladaptations (Williams &amp; Dumroese, 2016).”</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That’s it. One passing reference, one direct quote, period. Worse, there is not even one other passing mention of assisted migration in FEIS Chapter 3, Part 2, or in Appendix J Climate and Carbon, or in the draft Record of Decision. The Forest’s neglect of assisted migration exacerbates its arguably unintentional but effective evasion of fully admitting to a novel forest on a path to plausibly inevitable increasing novelty and requiring increasingly novel management actions.</w:t>
      </w:r>
      <w:r>
        <w:rPr>
          <w:rFonts w:ascii="Verdana" w:hAnsi="Verdana" w:cs="Verdana"/>
          <w:b/>
          <w:bCs/>
          <w:color w:val="000000"/>
          <w:u w:color="0000E9"/>
        </w:rPr>
        <w:t xml:space="preserve">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xml:space="preserve">Like triage, assisted migration has already been a topic of controversy, so it would give stakeholders and the larger public a heads-up if that topic is brought into discussion now instead of kicking the can down the road to some future management action.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There’s all the more reason for explicit discussion of assisted migration when it appears in the body of literature developed so far by the USDA Forest Service itself. As a first example, consider Handler, S.; Pike, C.; St. Clair, B.; 2018. Assisted Migration. USDA Forest Service Climate Change Resource Center. &lt;&lt;https://www.fs.usda.gov/ccrc/topics/assisted-migration&gt;&gt;. These authors observe that, “Assisted migration, human-assisted movement of species in response to climate change, is a general term that encompasses a variety of different potential actions, which have substantial differences in terms of risk, ecological implications, and policy considerations,” and that “Assisted migration may be motivated by a variety of different management goals and objectives.”</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They go on to say that, “A land manager may first need to make decisions about which species are appropriate to favor in a given area, and immediately go on to say that, “In some cases, however, it is clear that climate change and other conservation challenges make the risk associated with doing nothing greater than the risk associated with intervening.”</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A second example is available via the USDS Forest Service Rocky Mountain Research Station’s website on Climate Change and Assisted Migration &lt;&lt;</w:t>
      </w:r>
      <w:hyperlink r:id="rId6" w:history="1">
        <w:r>
          <w:rPr>
            <w:rFonts w:ascii="Verdana" w:hAnsi="Verdana" w:cs="Verdana"/>
            <w:color w:val="374F72"/>
            <w:u w:val="single" w:color="374F72"/>
          </w:rPr>
          <w:t>https://rngr.net/publications/assisted-migration</w:t>
        </w:r>
      </w:hyperlink>
      <w:r>
        <w:rPr>
          <w:rFonts w:ascii="Verdana" w:hAnsi="Verdana" w:cs="Verdana"/>
          <w:color w:val="000000"/>
          <w:u w:color="0000E9"/>
        </w:rPr>
        <w:t>&gt;&gt;. This website allows Forest Service staff and others to “ … search more than 840 articles discussing assisted migration, climate change, and native plant transfer guidelines by author, title, subject, or keywords.” In providing this service, the website “… provides a central foundation for collaboration in generating research questions, conducting studies, transferring and acquiring data, expanding studies to key species and geographic regions, and guiding native plant transfer.”</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A third example is available as part of a broader conference sponsored in part by the Forest Service; i.e., Browning, J. Comp. Proceedings of the 60th Annual Western International Forest Disease Work Conference; 2012 October 8-12; Tahoe City, CA. 1 USDA Forest Service, Washington, DC. 2 Northern Institute of Applied Climate Science, USDA Forest Service, St. Paul, MN. 3 USDA Forest Service, Pacific Northwest Region, Pendleton, OR. 4 USDA Forest Service, Northern Research Station, Delaware, OH.</w:t>
      </w:r>
    </w:p>
    <w:p w:rsidR="003033B1" w:rsidRDefault="003033B1" w:rsidP="003033B1">
      <w:pPr>
        <w:widowControl w:val="0"/>
        <w:autoSpaceDE w:val="0"/>
        <w:autoSpaceDN w:val="0"/>
        <w:adjustRightInd w:val="0"/>
        <w:spacing w:after="240" w:line="340" w:lineRule="atLeast"/>
        <w:rPr>
          <w:rFonts w:ascii="Verdana" w:hAnsi="Verdana" w:cs="Verdana"/>
          <w:color w:val="0E0E0E"/>
          <w:u w:color="0000E9"/>
        </w:rPr>
      </w:pPr>
      <w:r>
        <w:rPr>
          <w:rFonts w:ascii="Verdana" w:hAnsi="Verdana" w:cs="Verdana"/>
          <w:color w:val="000000"/>
          <w:u w:color="0000E9"/>
        </w:rPr>
        <w:t>One session of that conference was titled, “</w:t>
      </w:r>
      <w:r>
        <w:rPr>
          <w:rFonts w:ascii="Verdana" w:hAnsi="Verdana" w:cs="Verdana"/>
          <w:color w:val="0E0E0E"/>
          <w:u w:color="0000E9"/>
        </w:rPr>
        <w:t>Policy and strategy considerations for assisted migration on USDA Forest Service lands,” and was co-authored by Forest Service personnel including Leslie A. Brandt, Douglas A. Boyce, and Louis R. Iverson. This Forest Service co-authored session on “Policy and strategy considerations for assisted migration on USDA Forest Service lands” reported that, “</w:t>
      </w:r>
      <w:r>
        <w:rPr>
          <w:rFonts w:ascii="Verdana" w:hAnsi="Verdana" w:cs="Verdana"/>
          <w:color w:val="000000"/>
          <w:u w:color="0000E9"/>
        </w:rPr>
        <w:t>Assisted migration has been defined as the movement of species, populations, or genotypes to places outside the areas of their historical distributions to maintain biological diversity or ecosystem functioning with changing climate (Richardson et al. 2009; Schwartz et al. 2012).”</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xml:space="preserve">The above authors point out that “Assisted migration changes the land management focus from past to future.”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Note that here again we see expression of need to consider the future, and not solely of the Northcentral Montana forest itself, but also of area’s young Montanans, and, indeed, future generations. And, interestingly, as the Forest knows and reports in a fleeting, passing tidbit, past realities are no longer a reliable guide; on page 22 of Appendix J Climate and Carbon, the Forest cautions in passing that, “disturbance rates are projected to increase with climate change (J. M. Vose et al., 2018), making it challenging to use past trends to project the effects of disturbance and aging on forest carbon dynamics.”)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The above three examples of Forest Service attention to assisted migration demonstrate an awareness that requires dissemination beyond the agency, to stakeholders and the larger public, who may be unaware. If that proves controversial, it’s a needed controversy, and worth having upfront, giving all concerned some time to think it through.</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All the above related directly and intimately to the future of trees that are currently of greatest immediate economic importance in Northcentral Montana : Conifers.</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Conifers the economic backbone for the timber industry, jobs, and Forest management that takes the form of permitting harvest and logging. Their persistence is part and parcel to the Forest’s oft-stated intent to manage for “desired conditions,” presumably persistence of conifers via “resilience”.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Given past and current economic importance of conifers, it is highly relevant to review what the Forest tells readers on p. of FEIS Appendix J Carbon and Climate.</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r>
        <w:rPr>
          <w:rFonts w:ascii="Verdana" w:hAnsi="Verdana" w:cs="Verdana"/>
          <w:color w:val="000000"/>
          <w:u w:color="0000E9"/>
        </w:rPr>
        <w:t xml:space="preserve">“As a cornerstone, the Plan relies on desired condition envelopes that are informed by the natural range of variation (NRV), but also incorporate adjustments that reflect possible future conditions, such as allowing for more nonforested plant communities. Specific best available scientific information (BASI) is cited in cases where the desired condition differs from the modeled NRV (see appendix H of the EIS). Desired conditions are consistent with concepts for increasing forest resiliency, such as promoting fire-resistant species, large trees, and lower stand densities. These conditions are appropriate for the anticipated life of the Plan (15 years), were extensively reviewed by forest specialists, and are consistent with the findings of expert reviews on similar efforts (Hansen et al., 2018; Timberlake, Joyce, Schultz, &amp; Lampman, 2018). Moving towards these desired conditions would help ensure the maintenance of biodiversity, species habitat, and ecosystem services regardless of whether future conditions may change after the planning period. Management actions designed to mitigate the effects of drought are supported by the desired conditions, including the following described by Vose and others (2016): </w:t>
      </w:r>
    </w:p>
    <w:p w:rsidR="003033B1" w:rsidRDefault="003033B1" w:rsidP="003033B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cs="Verdana"/>
          <w:color w:val="000000"/>
          <w:u w:color="0000E9"/>
        </w:rPr>
      </w:pPr>
    </w:p>
    <w:p w:rsidR="003033B1" w:rsidRDefault="003033B1" w:rsidP="003033B1">
      <w:pPr>
        <w:widowControl w:val="0"/>
        <w:autoSpaceDE w:val="0"/>
        <w:autoSpaceDN w:val="0"/>
        <w:adjustRightInd w:val="0"/>
        <w:spacing w:after="240" w:line="260" w:lineRule="atLeast"/>
        <w:rPr>
          <w:rFonts w:ascii="Verdana" w:hAnsi="Verdana" w:cs="Verdana"/>
          <w:color w:val="000000"/>
          <w:u w:color="0000E9"/>
        </w:rPr>
      </w:pPr>
      <w:r>
        <w:rPr>
          <w:rFonts w:ascii="Verdana" w:hAnsi="Verdana" w:cs="Verdana"/>
          <w:color w:val="000000"/>
          <w:u w:color="0000E9"/>
        </w:rPr>
        <w:t xml:space="preserve">• Implement structural changes by thinning or density management of planted forests; </w:t>
      </w:r>
    </w:p>
    <w:p w:rsidR="003033B1" w:rsidRDefault="003033B1" w:rsidP="003033B1">
      <w:pPr>
        <w:widowControl w:val="0"/>
        <w:autoSpaceDE w:val="0"/>
        <w:autoSpaceDN w:val="0"/>
        <w:adjustRightInd w:val="0"/>
        <w:spacing w:after="240" w:line="260" w:lineRule="atLeast"/>
        <w:rPr>
          <w:rFonts w:ascii="Verdana" w:hAnsi="Verdana" w:cs="Verdana"/>
          <w:color w:val="000000"/>
          <w:u w:color="0000E9"/>
        </w:rPr>
      </w:pPr>
      <w:r>
        <w:rPr>
          <w:rFonts w:ascii="Verdana" w:hAnsi="Verdana" w:cs="Verdana"/>
          <w:color w:val="000000"/>
          <w:u w:color="0000E9"/>
        </w:rPr>
        <w:t xml:space="preserve">• Favor or plant more drought-adapted species; and </w:t>
      </w:r>
    </w:p>
    <w:p w:rsidR="003033B1" w:rsidRDefault="003033B1" w:rsidP="003033B1">
      <w:pPr>
        <w:widowControl w:val="0"/>
        <w:autoSpaceDE w:val="0"/>
        <w:autoSpaceDN w:val="0"/>
        <w:adjustRightInd w:val="0"/>
        <w:spacing w:after="240" w:line="260" w:lineRule="atLeast"/>
        <w:rPr>
          <w:rFonts w:ascii="Verdana" w:hAnsi="Verdana" w:cs="Verdana"/>
          <w:color w:val="000000"/>
          <w:u w:color="0000E9"/>
        </w:rPr>
      </w:pPr>
      <w:r>
        <w:rPr>
          <w:rFonts w:ascii="Verdana" w:hAnsi="Verdana" w:cs="Verdana"/>
          <w:color w:val="000000"/>
          <w:u w:color="0000E9"/>
        </w:rPr>
        <w:t xml:space="preserve">• Manage for a diversity of species to reduce vulnerability to drought given uncertainty in future climate.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It is possible that at some point in the future, the desired conditions as currently outlined in the 2020 Forest Plan may no longer be appropriate or achievable (for example, if sites shift to novel ecosystems). It is even possible that large disturbances and site-specific shifts could occur within the planning period. It is not possible to quantify desired conditions that reflect novel ecosystems, because predictions of species shifts in the literature are made at the broad scale using climate envelopes, and do not encompass site- specific conditions that would influence species persistence at the local scale. Further, it is not possible to predict or quantify potential megadisturbances, or broad-scale die-off events, although the risk of such events is noted. If such events do occur, or monitoring shows that species shifts are occurring within the plan period, it would be possible to amend the plan regarding appropriate desired conditions.”</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xml:space="preserve">There are two key tidbits buried or camouflaged in the above. One is the mention of favoring fire resistant trees, presumably conifers. The other is mention of favoring or planting of drought tolerant trees, presumably conifers.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The mention of these two traits very strongly implies that, because there will inevitably be fire, and because there will inevitably be drought, desired future conditions based on persistence of conifers will plausibly hinge on conifers that are both fire-resistant and, also, drought tolerant.</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For example, because of their thick bark, older ponderosa pine do have resistance to fire, as the Forest itself has mentioned. At the same time, they are among the tree species the Forest itself has identified as vulnerable to drought. The Forest might manage them for resistance to fire, but then lose them to drought, defeating the Forest’s best efforts.</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xml:space="preserve">This plausible risk to ponderosa raises what seems to me to be important and possibly urgent questions about which — or any — of the Forest’s other conifers do have the plausibly necessary pairing of fire-resistance and drought tolerance, or, alternatively, could be brought to that Northcentral Montana acreage via assisted migration. I could have missed something, but I found no answer to these questions in the Forest Plan, the draft RoD, or FEIS Chapter 3 Parts 1 and 2. </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To prevent a very plausibly increasing conversion of forest to non forest, the Forest may have to look beyond conifers, to tree species known for dual fire-resistance and drought tolerance. As I suggested in the scoping period, this may require a hard look at the native Montana bur oak, which could confer a measure of resilience that conifers may simply be unable to achieve. This, however, would require some re-definition of desired future condition and, possibly, an amendment of the Forest Plan if conifer forest declines as expected.</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The Forest is in a tough spot. It can put on a brave face, and muster up it’s can-do attitude, but its best efforts to achieve the likes of regeneration, resilience, desired future conditions and persistence of conifers may all come to naught for reasons very largely beyond its control — namely the continuing combustion of fossil fuels by households and industries.</w:t>
      </w:r>
    </w:p>
    <w:p w:rsidR="003033B1" w:rsidRDefault="003033B1" w:rsidP="003033B1">
      <w:pPr>
        <w:widowControl w:val="0"/>
        <w:autoSpaceDE w:val="0"/>
        <w:autoSpaceDN w:val="0"/>
        <w:adjustRightInd w:val="0"/>
        <w:spacing w:after="240" w:line="340" w:lineRule="atLeast"/>
        <w:rPr>
          <w:rFonts w:ascii="Verdana" w:hAnsi="Verdana" w:cs="Verdana"/>
          <w:color w:val="000000"/>
          <w:u w:color="0000E9"/>
        </w:rPr>
      </w:pPr>
      <w:r>
        <w:rPr>
          <w:rFonts w:ascii="Verdana" w:hAnsi="Verdana" w:cs="Verdana"/>
          <w:color w:val="000000"/>
          <w:u w:color="0000E9"/>
        </w:rPr>
        <w:t xml:space="preserve">And the problems there are proving difficult to solve. Few are as well positioned to understand and convey those difficulties than S&amp;P, formerly Standard &amp; Poor, a well known financial industry mainstay. Below, S&amp;P conveys a message of persisting challenges that will in all likelihood force forests further down a path of shifting to novel ecosystems. </w:t>
      </w:r>
    </w:p>
    <w:p w:rsidR="003033B1" w:rsidRDefault="003033B1" w:rsidP="003033B1">
      <w:pPr>
        <w:widowControl w:val="0"/>
        <w:numPr>
          <w:ilvl w:val="0"/>
          <w:numId w:val="3"/>
        </w:numPr>
        <w:tabs>
          <w:tab w:val="left" w:pos="220"/>
          <w:tab w:val="left" w:pos="720"/>
        </w:tabs>
        <w:autoSpaceDE w:val="0"/>
        <w:autoSpaceDN w:val="0"/>
        <w:adjustRightInd w:val="0"/>
        <w:spacing w:line="264" w:lineRule="auto"/>
        <w:ind w:hanging="720"/>
        <w:rPr>
          <w:rFonts w:ascii="Verdana" w:hAnsi="Verdana" w:cs="Verdana"/>
          <w:color w:val="0A0A0A"/>
          <w:u w:color="0000E9"/>
        </w:rPr>
      </w:pPr>
      <w:r>
        <w:rPr>
          <w:rFonts w:ascii="Verdana" w:hAnsi="Verdana" w:cs="Verdana"/>
          <w:color w:val="141414"/>
          <w:u w:color="0000E9"/>
        </w:rPr>
        <w:t>S&amp;P GLOBAL PLATTS</w:t>
      </w:r>
      <w:r>
        <w:rPr>
          <w:rFonts w:ascii="Verdana" w:hAnsi="Verdana" w:cs="Verdana"/>
          <w:color w:val="0A0A0A"/>
          <w:u w:color="0000E9"/>
        </w:rPr>
        <w:t>  </w:t>
      </w:r>
      <w:r>
        <w:rPr>
          <w:rFonts w:ascii="Verdana" w:hAnsi="Verdana" w:cs="Verdana"/>
          <w:color w:val="141414"/>
          <w:u w:color="0000E9"/>
        </w:rPr>
        <w:t>10 Dec, 2019</w:t>
      </w:r>
    </w:p>
    <w:p w:rsidR="003033B1" w:rsidRDefault="003033B1" w:rsidP="003033B1">
      <w:pPr>
        <w:widowControl w:val="0"/>
        <w:numPr>
          <w:ilvl w:val="0"/>
          <w:numId w:val="3"/>
        </w:numPr>
        <w:tabs>
          <w:tab w:val="left" w:pos="220"/>
          <w:tab w:val="left" w:pos="720"/>
        </w:tabs>
        <w:autoSpaceDE w:val="0"/>
        <w:autoSpaceDN w:val="0"/>
        <w:adjustRightInd w:val="0"/>
        <w:spacing w:line="264" w:lineRule="auto"/>
        <w:ind w:hanging="720"/>
        <w:rPr>
          <w:rFonts w:ascii="Verdana" w:hAnsi="Verdana" w:cs="Verdana"/>
          <w:b/>
          <w:bCs/>
          <w:color w:val="0A0A0A"/>
          <w:u w:color="0000E9"/>
        </w:rPr>
      </w:pPr>
      <w:r>
        <w:rPr>
          <w:rFonts w:ascii="Verdana" w:hAnsi="Verdana" w:cs="Verdana"/>
          <w:b/>
          <w:bCs/>
          <w:color w:val="0A0A0A"/>
          <w:u w:color="0000E9"/>
        </w:rPr>
        <w:t>The biggest challenges to decarbonization are still ahead</w:t>
      </w:r>
    </w:p>
    <w:p w:rsidR="003033B1" w:rsidRDefault="003033B1" w:rsidP="003033B1">
      <w:pPr>
        <w:widowControl w:val="0"/>
        <w:numPr>
          <w:ilvl w:val="0"/>
          <w:numId w:val="3"/>
        </w:numPr>
        <w:tabs>
          <w:tab w:val="left" w:pos="220"/>
          <w:tab w:val="left" w:pos="720"/>
        </w:tabs>
        <w:autoSpaceDE w:val="0"/>
        <w:autoSpaceDN w:val="0"/>
        <w:adjustRightInd w:val="0"/>
        <w:spacing w:line="264" w:lineRule="auto"/>
        <w:ind w:hanging="720"/>
        <w:rPr>
          <w:rFonts w:ascii="Verdana" w:hAnsi="Verdana" w:cs="Verdana"/>
          <w:color w:val="0A0A0A"/>
          <w:u w:color="0000E9"/>
        </w:rPr>
      </w:pPr>
      <w:r>
        <w:rPr>
          <w:rFonts w:ascii="Verdana" w:hAnsi="Verdana" w:cs="Verdana"/>
          <w:b/>
          <w:bCs/>
          <w:color w:val="0A0A0A"/>
          <w:kern w:val="1"/>
          <w:u w:color="0000E9"/>
        </w:rPr>
        <w:tab/>
      </w:r>
      <w:r>
        <w:rPr>
          <w:rFonts w:ascii="Verdana" w:hAnsi="Verdana" w:cs="Verdana"/>
          <w:b/>
          <w:bCs/>
          <w:color w:val="0A0A0A"/>
          <w:kern w:val="1"/>
          <w:u w:color="0000E9"/>
        </w:rPr>
        <w:tab/>
      </w:r>
    </w:p>
    <w:p w:rsidR="003033B1" w:rsidRDefault="003033B1" w:rsidP="003033B1">
      <w:pPr>
        <w:widowControl w:val="0"/>
        <w:numPr>
          <w:ilvl w:val="0"/>
          <w:numId w:val="3"/>
        </w:numPr>
        <w:autoSpaceDE w:val="0"/>
        <w:autoSpaceDN w:val="0"/>
        <w:adjustRightInd w:val="0"/>
        <w:spacing w:line="264" w:lineRule="auto"/>
        <w:ind w:left="0" w:firstLine="0"/>
        <w:rPr>
          <w:rFonts w:ascii="Verdana" w:hAnsi="Verdana" w:cs="Verdana"/>
          <w:color w:val="0A0A0A"/>
          <w:u w:color="0000E9"/>
        </w:rPr>
      </w:pPr>
      <w:r>
        <w:rPr>
          <w:rFonts w:ascii="Verdana" w:hAnsi="Verdana" w:cs="Verdana"/>
          <w:i/>
          <w:iCs/>
          <w:color w:val="0A0A0A"/>
          <w:u w:color="0000E9"/>
        </w:rPr>
        <w:t>To achieve a clean and affordable energy supply, we will need the right balance of technology and regulation, writes Chris Midgley, global director of</w:t>
      </w:r>
      <w:hyperlink r:id="rId7" w:history="1">
        <w:r>
          <w:rPr>
            <w:rFonts w:ascii="Verdana" w:hAnsi="Verdana" w:cs="Verdana"/>
            <w:b/>
            <w:bCs/>
            <w:i/>
            <w:iCs/>
            <w:color w:val="000000"/>
            <w:u w:color="0000E9"/>
          </w:rPr>
          <w:t> S&amp;P Global Platts Analytics</w:t>
        </w:r>
      </w:hyperlink>
      <w:r>
        <w:rPr>
          <w:rFonts w:ascii="Verdana" w:hAnsi="Verdana" w:cs="Verdana"/>
          <w:i/>
          <w:iCs/>
          <w:color w:val="0A0A0A"/>
          <w:u w:color="0000E9"/>
        </w:rPr>
        <w:t>. This is the second article in a series looking at key energy sector trends, ahead of the </w:t>
      </w:r>
      <w:hyperlink r:id="rId8" w:history="1">
        <w:r>
          <w:rPr>
            <w:rFonts w:ascii="Verdana" w:hAnsi="Verdana" w:cs="Verdana"/>
            <w:b/>
            <w:bCs/>
            <w:i/>
            <w:iCs/>
            <w:color w:val="000000"/>
            <w:u w:color="0000E9"/>
          </w:rPr>
          <w:t>S&amp;P Global Platts Global Energy Awards</w:t>
        </w:r>
      </w:hyperlink>
      <w:r>
        <w:rPr>
          <w:rFonts w:ascii="Verdana" w:hAnsi="Verdana" w:cs="Verdana"/>
          <w:i/>
          <w:iCs/>
          <w:color w:val="0A0A0A"/>
          <w:u w:color="0000E9"/>
        </w:rPr>
        <w:t>.</w:t>
      </w:r>
    </w:p>
    <w:p w:rsidR="003033B1" w:rsidRDefault="003033B1" w:rsidP="003033B1">
      <w:pPr>
        <w:widowControl w:val="0"/>
        <w:numPr>
          <w:ilvl w:val="0"/>
          <w:numId w:val="3"/>
        </w:numPr>
        <w:tabs>
          <w:tab w:val="left" w:pos="220"/>
          <w:tab w:val="left" w:pos="720"/>
        </w:tabs>
        <w:autoSpaceDE w:val="0"/>
        <w:autoSpaceDN w:val="0"/>
        <w:adjustRightInd w:val="0"/>
        <w:spacing w:line="264" w:lineRule="auto"/>
        <w:ind w:hanging="720"/>
        <w:rPr>
          <w:rFonts w:ascii="Verdana" w:hAnsi="Verdana" w:cs="Verdana"/>
          <w:color w:val="0A0A0A"/>
          <w:u w:color="0000E9"/>
        </w:rPr>
      </w:pPr>
      <w:r>
        <w:rPr>
          <w:rFonts w:ascii="Verdana" w:hAnsi="Verdana" w:cs="Verdana"/>
          <w:i/>
          <w:iCs/>
          <w:color w:val="0A0A0A"/>
          <w:kern w:val="1"/>
          <w:u w:color="0000E9"/>
        </w:rPr>
        <w:tab/>
      </w:r>
      <w:r>
        <w:rPr>
          <w:rFonts w:ascii="Verdana" w:hAnsi="Verdana" w:cs="Verdana"/>
          <w:i/>
          <w:iCs/>
          <w:color w:val="0A0A0A"/>
          <w:kern w:val="1"/>
          <w:u w:color="0000E9"/>
        </w:rPr>
        <w:tab/>
      </w:r>
    </w:p>
    <w:p w:rsidR="003033B1" w:rsidRDefault="00892D4D" w:rsidP="003033B1">
      <w:pPr>
        <w:widowControl w:val="0"/>
        <w:autoSpaceDE w:val="0"/>
        <w:autoSpaceDN w:val="0"/>
        <w:adjustRightInd w:val="0"/>
        <w:spacing w:line="264" w:lineRule="auto"/>
        <w:rPr>
          <w:rFonts w:ascii="Verdana" w:hAnsi="Verdana" w:cs="Verdana"/>
          <w:color w:val="0A0A0A"/>
          <w:u w:color="0000E9"/>
        </w:rPr>
      </w:pPr>
      <w:hyperlink r:id="rId9" w:history="1">
        <w:r w:rsidR="003033B1">
          <w:rPr>
            <w:rFonts w:ascii="Verdana" w:hAnsi="Verdana" w:cs="Verdana"/>
            <w:color w:val="0000E9"/>
            <w:u w:val="single" w:color="0000E9"/>
          </w:rPr>
          <w:t>https://www.spglobal.com/en/research-insights/articles/the-biggest-challenges-to-decarbonization-are-still-ahead</w:t>
        </w:r>
      </w:hyperlink>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 xml:space="preserve"> </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 xml:space="preserve">==————————   </w:t>
      </w:r>
      <w:r>
        <w:rPr>
          <w:rFonts w:ascii="Verdana" w:hAnsi="Verdana" w:cs="Verdana"/>
          <w:b/>
          <w:bCs/>
          <w:color w:val="0A0A0A"/>
          <w:u w:color="0000E9"/>
        </w:rPr>
        <w:t>Closing paragraph</w:t>
      </w:r>
      <w:r>
        <w:rPr>
          <w:rFonts w:ascii="Verdana" w:hAnsi="Verdana" w:cs="Verdana"/>
          <w:color w:val="0A0A0A"/>
          <w:u w:color="0000E9"/>
        </w:rPr>
        <w:t xml:space="preserve">  —————————==</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“However, technology alone will not achieve this outcome. We will need well-thought through policies, socially responsible companies and investors, and consumer acceptance to changing behaviours and the cost increase of sustaining our planet for generations to come.”</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“The Extinction Rebellion protests and the passionate pleas of Greta Thunberg for world leaders in politics and industry to take action on what they describe as the unprecedented global climate emergency have brought a greater sense of urgency to the energy transition.</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“There can be no doubt that the cycle of significant climate events is increasing and that emissions of CO2 or greenhouse gases (GHGs) are rising at alarming rates. However, in a world where over 1 billion people still lack access to simple electricity and many more still live in poverty, the dual challenge of providing affordable clean energy and tackling the impacts of climate change remains complex.</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“Addressing the challenge of climate change will require us to find a balance between regulation and government policy, technology, and consumer behaviour. Government policy can come with unintended consequences and tends to use taxpayers’ money inefficiently.</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“The German Renewable Energy Policy or Energiewende, for example, has successfully grown renewable energy in the country from less than 4% in 1990 to 40% today, but has also meant high electricity bills. However, CO2 emissions in Germany have been impacted by marginal dispatchable electricity coming from carbon-intensive lignite (low quality coal).</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“So has the Energiewende been a failure? Far from it. Without Germany effectively subsidizing the renewables industry, it would have not created the scale of demand that has seen technology and manufacturing processes bring down the cost of renewables to below the cost of thermal (oil, gas or coal) power generation.</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“Technology often needs a helping hand to gain momentum before it can compete with traditional fossil fuels. But policies cost money. We may have movements like Extinction Rebellion pushing for change, but we have equally passionate ones protesting about the cost of change, such as the gilets jaunes in France, or the protests in Iran, Ecuador and Chile over reductions in fuels subsidies and increases in transport costs.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 xml:space="preserve">“Regrettably, consumers are strongly motivated by their personal welfare, which is determined by their disposable income or relative wealth. Lower energy costs over the last five years have resulted in an increase in energy consumption as the world economy has created wealth and jobs, leading to what I have previously described as consumer hedonism. </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“Taking away this privilege is hard, and with lower energy prices, technology will find it harder to compete with traditional fossil fuels and/or get the financing required.</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b/>
          <w:bCs/>
          <w:color w:val="0A0A0A"/>
          <w:u w:color="0000E9"/>
        </w:rPr>
        <w:t>Regulation and responsibility</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“However, there is a new pressure emerging that I call “moral regulation” or self-regulation. Corporations are coming under increasing pressure from shareholders to meet environmental, social and governance </w:t>
      </w:r>
      <w:hyperlink r:id="rId10" w:history="1">
        <w:r>
          <w:rPr>
            <w:rFonts w:ascii="Verdana" w:hAnsi="Verdana" w:cs="Verdana"/>
            <w:b/>
            <w:bCs/>
            <w:color w:val="000000"/>
            <w:u w:color="0000E9"/>
          </w:rPr>
          <w:t>(ESG)</w:t>
        </w:r>
      </w:hyperlink>
      <w:r>
        <w:rPr>
          <w:rFonts w:ascii="Verdana" w:hAnsi="Verdana" w:cs="Verdana"/>
          <w:color w:val="0A0A0A"/>
          <w:u w:color="0000E9"/>
        </w:rPr>
        <w:t> standards, and are being punished for not addressing the impact of their businesses on society.</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“We have started to see this among International Oil Companies (IOCs) as their strategies, and more importantly capital, have moved away from high-intensity carbon fuels towards less carbon intensive gas and renewables, some even shifting towards becoming electricity suppliers.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“At the same time, National Oil Companies (NOCs) are recognizing the risk of reliance on fossil fuels and potentially having stranded assets, and as such are looking to diversify their economies. Saudi Arabia’s strategy to float part of Saudi Aramco in an IPO in order to raise funds to invest in its Vision 2030 is a case in point.</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 xml:space="preserve">“Technology and regulation need to work together effectively to help provide momentum in the right direction but without distorting market forces. </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“Today, subsidizing electric vehicles effectively benefits the wealthy who can afford them. Subsidizing the scrappage of old polluting vehicles instead would enable the less wealthy to be able to afford cleaner, more efficient, vehicles, which can have a bigger impact on emissions than increasing the number of EVs on the road.</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“A counter-argument could be, do EVs need subsidies to help give them the momentum to compete and bring down costs? Road transportation makes up 20% of global carbon emissions, so clearly it needs to be addressed, but electrifying transportation simply moves emissions up the supply chain to power generation, which today produces 40% of GHG emissions. The current trend towards the electrification of everything may not be the optimal solution.</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b/>
          <w:bCs/>
          <w:color w:val="0A0A0A"/>
          <w:u w:color="0000E9"/>
        </w:rPr>
        <w:t>Harnessing technology</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“Technology will need to provide a range of solutions to tackle the energy transition across the supply chain. Renewables will play a significant role both in liquid fuels and electrons.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“The biofuels sector must avoid competing with land for food and adversely impacting ecosystems, by shifting its focus to transforming plant waste to biofuels, or converting used vegetable oils or tallow from animal fat, through bio-refining. This process can provide liquid fuels such as naphtha (“bio to plastics”), gasoil and, possibly most opportune, jet fuel, in order to decarbonize aviation which contributes over 1 gigaton of CO2 per year.</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“New renewable electricity has leapfrogged new conventional thermal power in terms of levelized cost of generation but needs to solve the problem of intermittency. In the short term, wind and solar challenge the economics of new combined cycle gas turbine (CCGT) plants and have pushed countries like China and Russia to focus on coal for base-load generation.</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“Compared with CCGT, traditional coal plants have less turndown, meaning they have to run at higher base-load when ample renewable energy is available. Clean coal power plant with carbon capture and storage (CCS) or use (CCU) can be efficient and have net zero emissions but the right incentives are needed to encourage investment in the technology.</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“Solving the problem of storing intermittent electricity generation continues to be a significant challenge. Diversifying away from </w:t>
      </w:r>
      <w:hyperlink r:id="rId11" w:history="1">
        <w:r>
          <w:rPr>
            <w:rFonts w:ascii="Verdana" w:hAnsi="Verdana" w:cs="Verdana"/>
            <w:b/>
            <w:bCs/>
            <w:color w:val="000000"/>
            <w:u w:color="0000E9"/>
          </w:rPr>
          <w:t>battery storage</w:t>
        </w:r>
      </w:hyperlink>
      <w:r>
        <w:rPr>
          <w:rFonts w:ascii="Verdana" w:hAnsi="Verdana" w:cs="Verdana"/>
          <w:color w:val="0A0A0A"/>
          <w:u w:color="0000E9"/>
        </w:rPr>
        <w:t> (and electric vehicles) could be resolved by moving towards a hydrogen economy. When burned, hydrogen emits water, but it requires a lot of energy to produce.</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“Using renewable net-zero carbon energy to produce hydrogen at scale and in a distributed fashion can provide an affordable solution to first partially decarbonize natural gas, by blending in hydrogen. Hydrogen could then also be used in the road transport sector, in particular as a solution for heavy commercial road transport, in fuel cell vehicles, for which cost and infrastructure are the only current constraints.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b/>
          <w:bCs/>
          <w:color w:val="0A0A0A"/>
          <w:u w:color="0000E9"/>
        </w:rPr>
        <w:t>Rethinking consumption</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“Using less energy is something we can and should all be doing today – adjusting our thermostats, buying fewer disposable goods and using more mass transport. Over time we need to recycle, reuse and, most importantly, reduce what we use.</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“Industry is looking at similar opportunities, such as reusing carbon dioxide in CO2 to petrochemicals. Or reducing the need for energy intensive commodities such as steel and aluminum (even paper), where plastics can be used to lightweight durable products, or, if used responsibly, with the right policies and processes around recycling and reuse, in consumable product supply chains.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b/>
          <w:bCs/>
          <w:color w:val="0A0A0A"/>
          <w:u w:color="0000E9"/>
        </w:rPr>
        <w:t>GLOBAL ENERGY MIX SCENARIOS</w:t>
      </w: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“We will continue to need fossil fuels in our energy mix for decades to come and as such, we need to ensure that the fossil fuels we do consume are of the lowest possible carbon intensity and impact on our planet. With the advent of big data and the Internet of Things (IOT) we can use things like blockchain technology to be able to track and monitor the impact of the carbon we consume. This would enable us to create carbon attributes for the fossil fuels we produce, process and consume.</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“Today, gasoline and diesel have sulfur and other environmental specifications, and we should also have a specification for the energy (or carbon) used to produce gasoline, incentivizing use of the gasoline with the lowest energy intensity and making inefficient production uneconomic.</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“Likewise, the energy used to produce and transport natural resources such as gas and oil – and to liquefy LNG – can be measured. Again, by assigning a cost to the energy used we can create transparent tradable markets to incentivize use of only the least energy intensive hydrocarbons.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“There are many uncertainties around the future of traditional fossil fuels but there are also many opportunities to make our supply chains more efficient and less energy intensive, to enable the world to achieve its objective of minimizing global warming to less than 2 degrees Celsius.</w:t>
      </w:r>
    </w:p>
    <w:p w:rsidR="003033B1" w:rsidRDefault="003033B1" w:rsidP="003033B1">
      <w:pPr>
        <w:widowControl w:val="0"/>
        <w:autoSpaceDE w:val="0"/>
        <w:autoSpaceDN w:val="0"/>
        <w:adjustRightInd w:val="0"/>
        <w:spacing w:line="264" w:lineRule="auto"/>
        <w:rPr>
          <w:rFonts w:ascii="Verdana" w:hAnsi="Verdana" w:cs="Verdana"/>
          <w:color w:val="0A0A0A"/>
          <w:u w:color="0000E9"/>
        </w:rPr>
      </w:pPr>
    </w:p>
    <w:p w:rsidR="003033B1" w:rsidRDefault="003033B1" w:rsidP="003033B1">
      <w:pPr>
        <w:widowControl w:val="0"/>
        <w:autoSpaceDE w:val="0"/>
        <w:autoSpaceDN w:val="0"/>
        <w:adjustRightInd w:val="0"/>
        <w:spacing w:line="264" w:lineRule="auto"/>
        <w:rPr>
          <w:rFonts w:ascii="Verdana" w:hAnsi="Verdana" w:cs="Verdana"/>
          <w:color w:val="0A0A0A"/>
          <w:u w:color="0000E9"/>
        </w:rPr>
      </w:pPr>
      <w:r>
        <w:rPr>
          <w:rFonts w:ascii="Verdana" w:hAnsi="Verdana" w:cs="Verdana"/>
          <w:color w:val="0A0A0A"/>
          <w:u w:color="0000E9"/>
        </w:rPr>
        <w:t>“However, technology alone will not achieve this outcome. We will need well-thought through policies, socially responsible companies and investors, and consumer acceptance to changing behaviours and the cost increase of sustaining our planet for generations to come.”</w:t>
      </w:r>
    </w:p>
    <w:p w:rsidR="00892D4D" w:rsidRDefault="003033B1" w:rsidP="003033B1">
      <w:r>
        <w:rPr>
          <w:rFonts w:ascii="Verdana" w:hAnsi="Verdana" w:cs="Verdana"/>
          <w:kern w:val="1"/>
          <w:u w:color="0000E9"/>
        </w:rPr>
        <w:t>Plan? It needs amendment now</w:t>
      </w:r>
    </w:p>
    <w:sectPr w:rsidR="00892D4D" w:rsidSect="00892D4D">
      <w:footerReference w:type="even" r:id="rId12"/>
      <w:footerReference w:type="default" r:id="rId1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B1" w:rsidRDefault="00892D4D" w:rsidP="00226212">
    <w:pPr>
      <w:pStyle w:val="Footer"/>
      <w:framePr w:wrap="around" w:vAnchor="text" w:hAnchor="margin" w:xAlign="center" w:y="1"/>
      <w:rPr>
        <w:rStyle w:val="PageNumber"/>
      </w:rPr>
    </w:pPr>
    <w:r>
      <w:rPr>
        <w:rStyle w:val="PageNumber"/>
      </w:rPr>
      <w:fldChar w:fldCharType="begin"/>
    </w:r>
    <w:r w:rsidR="003033B1">
      <w:rPr>
        <w:rStyle w:val="PageNumber"/>
      </w:rPr>
      <w:instrText xml:space="preserve">PAGE  </w:instrText>
    </w:r>
    <w:r>
      <w:rPr>
        <w:rStyle w:val="PageNumber"/>
      </w:rPr>
      <w:fldChar w:fldCharType="end"/>
    </w:r>
  </w:p>
  <w:p w:rsidR="003033B1" w:rsidRDefault="003033B1">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B1" w:rsidRDefault="00892D4D" w:rsidP="00226212">
    <w:pPr>
      <w:pStyle w:val="Footer"/>
      <w:framePr w:wrap="around" w:vAnchor="text" w:hAnchor="margin" w:xAlign="center" w:y="1"/>
      <w:rPr>
        <w:rStyle w:val="PageNumber"/>
      </w:rPr>
    </w:pPr>
    <w:r>
      <w:rPr>
        <w:rStyle w:val="PageNumber"/>
      </w:rPr>
      <w:fldChar w:fldCharType="begin"/>
    </w:r>
    <w:r w:rsidR="003033B1">
      <w:rPr>
        <w:rStyle w:val="PageNumber"/>
      </w:rPr>
      <w:instrText xml:space="preserve">PAGE  </w:instrText>
    </w:r>
    <w:r>
      <w:rPr>
        <w:rStyle w:val="PageNumber"/>
      </w:rPr>
      <w:fldChar w:fldCharType="separate"/>
    </w:r>
    <w:r w:rsidR="00407D9D">
      <w:rPr>
        <w:rStyle w:val="PageNumber"/>
        <w:noProof/>
      </w:rPr>
      <w:t>18</w:t>
    </w:r>
    <w:r>
      <w:rPr>
        <w:rStyle w:val="PageNumber"/>
      </w:rPr>
      <w:fldChar w:fldCharType="end"/>
    </w:r>
  </w:p>
  <w:p w:rsidR="003033B1" w:rsidRDefault="003033B1">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3033B1"/>
    <w:rsid w:val="00176771"/>
    <w:rsid w:val="003033B1"/>
    <w:rsid w:val="00407D9D"/>
    <w:rsid w:val="00892D4D"/>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4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iPriority w:val="99"/>
    <w:semiHidden/>
    <w:unhideWhenUsed/>
    <w:rsid w:val="003033B1"/>
    <w:pPr>
      <w:tabs>
        <w:tab w:val="center" w:pos="4320"/>
        <w:tab w:val="right" w:pos="8640"/>
      </w:tabs>
    </w:pPr>
  </w:style>
  <w:style w:type="character" w:customStyle="1" w:styleId="FooterChar">
    <w:name w:val="Footer Char"/>
    <w:basedOn w:val="DefaultParagraphFont"/>
    <w:link w:val="Footer"/>
    <w:uiPriority w:val="99"/>
    <w:semiHidden/>
    <w:rsid w:val="003033B1"/>
  </w:style>
  <w:style w:type="character" w:styleId="PageNumber">
    <w:name w:val="page number"/>
    <w:basedOn w:val="DefaultParagraphFont"/>
    <w:uiPriority w:val="99"/>
    <w:semiHidden/>
    <w:unhideWhenUsed/>
    <w:rsid w:val="003033B1"/>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blogs.platts.com/2019/07/30/us-battery-installs-to-accelerate-strongly-beyond-2020-but-new-risks-emerge/"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fs.usda.gov/Internet/FSE_DOCUMENTS/fseprd743366.pdf" TargetMode="External"/><Relationship Id="rId6" Type="http://schemas.openxmlformats.org/officeDocument/2006/relationships/hyperlink" Target="https://rngr.net/publications/assisted-migration" TargetMode="External"/><Relationship Id="rId7" Type="http://schemas.openxmlformats.org/officeDocument/2006/relationships/hyperlink" Target="https://www.plattsinsight.com/analytics/" TargetMode="External"/><Relationship Id="rId8" Type="http://schemas.openxmlformats.org/officeDocument/2006/relationships/hyperlink" Target="http://bit.ly/2YdxbDZ" TargetMode="External"/><Relationship Id="rId9" Type="http://schemas.openxmlformats.org/officeDocument/2006/relationships/hyperlink" Target="https://www.spglobal.com/en/research-insights/articles/the-biggest-challenges-to-decarbonization-are-still-ahead" TargetMode="External"/><Relationship Id="rId10" Type="http://schemas.openxmlformats.org/officeDocument/2006/relationships/hyperlink" Target="https://www.spglobal.com/en/research-insights/featured/esg-going-beyond-the-balance-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9727</Words>
  <Characters>52526</Characters>
  <Application>Microsoft Macintosh Word</Application>
  <DocSecurity>0</DocSecurity>
  <Lines>1221</Lines>
  <Paragraphs>222</Paragraphs>
  <ScaleCrop>false</ScaleCrop>
  <LinksUpToDate>false</LinksUpToDate>
  <CharactersWithSpaces>68089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dc:creator>
  <cp:keywords/>
  <cp:lastModifiedBy>Lance</cp:lastModifiedBy>
  <cp:revision>3</cp:revision>
  <dcterms:created xsi:type="dcterms:W3CDTF">2020-07-08T19:59:00Z</dcterms:created>
  <dcterms:modified xsi:type="dcterms:W3CDTF">2020-07-08T20:04:00Z</dcterms:modified>
</cp:coreProperties>
</file>