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35040" w14:textId="77777777" w:rsidR="00A458D5" w:rsidRPr="00A458D5" w:rsidRDefault="00A458D5" w:rsidP="00A458D5">
      <w:pPr>
        <w:keepNext/>
        <w:keepLines/>
        <w:spacing w:after="0"/>
        <w:outlineLvl w:val="0"/>
        <w:rPr>
          <w:rFonts w:ascii="Times New Roman" w:eastAsia="Times New Roman" w:hAnsi="Times New Roman" w:cs="Times New Roman"/>
          <w:sz w:val="32"/>
          <w:szCs w:val="32"/>
        </w:rPr>
      </w:pPr>
      <w:r w:rsidRPr="00A458D5">
        <w:rPr>
          <w:rFonts w:ascii="Times New Roman" w:eastAsia="Times New Roman" w:hAnsi="Times New Roman" w:cs="Times New Roman"/>
          <w:sz w:val="32"/>
          <w:szCs w:val="32"/>
        </w:rPr>
        <w:t>Helena Lewis and Clark National Forest Plan Objection</w:t>
      </w:r>
    </w:p>
    <w:p w14:paraId="4D5A9EAF" w14:textId="77777777" w:rsidR="00A458D5" w:rsidRPr="00A458D5" w:rsidRDefault="00A458D5" w:rsidP="00A458D5">
      <w:pPr>
        <w:spacing w:after="0"/>
        <w:rPr>
          <w:rFonts w:ascii="Calibri" w:eastAsia="Calibri" w:hAnsi="Calibri" w:cs="Times New Roman"/>
        </w:rPr>
      </w:pPr>
    </w:p>
    <w:p w14:paraId="28868E18" w14:textId="77777777" w:rsidR="00A458D5" w:rsidRPr="00A458D5" w:rsidRDefault="00A458D5" w:rsidP="00A458D5">
      <w:pPr>
        <w:spacing w:after="0"/>
        <w:rPr>
          <w:rFonts w:ascii="Times New Roman" w:eastAsia="Calibri" w:hAnsi="Times New Roman" w:cs="Times New Roman"/>
          <w:sz w:val="28"/>
          <w:szCs w:val="28"/>
        </w:rPr>
      </w:pPr>
      <w:r w:rsidRPr="00A458D5">
        <w:rPr>
          <w:rFonts w:ascii="Times New Roman" w:eastAsia="Calibri" w:hAnsi="Times New Roman" w:cs="Times New Roman"/>
          <w:sz w:val="28"/>
          <w:szCs w:val="28"/>
        </w:rPr>
        <w:t>Attention: Objection Review Officer</w:t>
      </w:r>
    </w:p>
    <w:p w14:paraId="4D06057C" w14:textId="77777777" w:rsidR="00A458D5" w:rsidRPr="00A458D5" w:rsidRDefault="00A458D5" w:rsidP="00A458D5">
      <w:pPr>
        <w:spacing w:after="0"/>
        <w:rPr>
          <w:rFonts w:ascii="Times New Roman" w:eastAsia="Calibri" w:hAnsi="Times New Roman" w:cs="Times New Roman"/>
          <w:sz w:val="28"/>
          <w:szCs w:val="28"/>
        </w:rPr>
      </w:pPr>
    </w:p>
    <w:p w14:paraId="7B0D4CEC" w14:textId="77777777" w:rsidR="00A458D5" w:rsidRPr="00A458D5" w:rsidRDefault="00A458D5" w:rsidP="00A458D5">
      <w:pPr>
        <w:spacing w:after="0"/>
        <w:rPr>
          <w:rFonts w:ascii="Times New Roman" w:eastAsia="Calibri" w:hAnsi="Times New Roman" w:cs="Times New Roman"/>
          <w:sz w:val="20"/>
          <w:szCs w:val="20"/>
        </w:rPr>
      </w:pPr>
      <w:r w:rsidRPr="00A458D5">
        <w:rPr>
          <w:rFonts w:ascii="Times New Roman" w:eastAsia="Calibri" w:hAnsi="Times New Roman" w:cs="Times New Roman"/>
          <w:sz w:val="20"/>
          <w:szCs w:val="20"/>
        </w:rPr>
        <w:t xml:space="preserve">USDA Forest Service, Objection Reviewing Officer </w:t>
      </w:r>
    </w:p>
    <w:p w14:paraId="484CE2A2" w14:textId="77777777" w:rsidR="00A458D5" w:rsidRPr="00A458D5" w:rsidRDefault="00A458D5" w:rsidP="00A458D5">
      <w:pPr>
        <w:spacing w:after="0"/>
        <w:rPr>
          <w:rFonts w:ascii="Times New Roman" w:eastAsia="Calibri" w:hAnsi="Times New Roman" w:cs="Times New Roman"/>
          <w:sz w:val="20"/>
          <w:szCs w:val="20"/>
        </w:rPr>
      </w:pPr>
      <w:r w:rsidRPr="00A458D5">
        <w:rPr>
          <w:rFonts w:ascii="Times New Roman" w:eastAsia="Calibri" w:hAnsi="Times New Roman" w:cs="Times New Roman"/>
          <w:sz w:val="20"/>
          <w:szCs w:val="20"/>
        </w:rPr>
        <w:t xml:space="preserve">Northern Region </w:t>
      </w:r>
    </w:p>
    <w:p w14:paraId="489F4614" w14:textId="77777777" w:rsidR="00A458D5" w:rsidRPr="00A458D5" w:rsidRDefault="00A458D5" w:rsidP="00A458D5">
      <w:pPr>
        <w:spacing w:after="0"/>
        <w:rPr>
          <w:rFonts w:ascii="Times New Roman" w:eastAsia="Calibri" w:hAnsi="Times New Roman" w:cs="Times New Roman"/>
          <w:sz w:val="20"/>
          <w:szCs w:val="20"/>
        </w:rPr>
      </w:pPr>
      <w:r w:rsidRPr="00A458D5">
        <w:rPr>
          <w:rFonts w:ascii="Times New Roman" w:eastAsia="Calibri" w:hAnsi="Times New Roman" w:cs="Times New Roman"/>
          <w:sz w:val="20"/>
          <w:szCs w:val="20"/>
        </w:rPr>
        <w:t xml:space="preserve">26 Fort Missoula Road </w:t>
      </w:r>
    </w:p>
    <w:p w14:paraId="21505651" w14:textId="77777777" w:rsidR="00A458D5" w:rsidRPr="00A458D5" w:rsidRDefault="00A458D5" w:rsidP="00A458D5">
      <w:pPr>
        <w:spacing w:after="0"/>
        <w:rPr>
          <w:rFonts w:ascii="Times New Roman" w:eastAsia="Calibri" w:hAnsi="Times New Roman" w:cs="Times New Roman"/>
          <w:sz w:val="20"/>
          <w:szCs w:val="20"/>
        </w:rPr>
      </w:pPr>
      <w:r w:rsidRPr="00A458D5">
        <w:rPr>
          <w:rFonts w:ascii="Times New Roman" w:eastAsia="Calibri" w:hAnsi="Times New Roman" w:cs="Times New Roman"/>
          <w:sz w:val="20"/>
          <w:szCs w:val="20"/>
        </w:rPr>
        <w:t>Missoula, MT  59804</w:t>
      </w:r>
    </w:p>
    <w:p w14:paraId="220C2E3B" w14:textId="77777777" w:rsidR="00A458D5" w:rsidRPr="00A458D5" w:rsidRDefault="00A458D5" w:rsidP="00A458D5">
      <w:pPr>
        <w:spacing w:after="0" w:line="360" w:lineRule="auto"/>
        <w:rPr>
          <w:rFonts w:ascii="Calibri" w:eastAsia="Calibri" w:hAnsi="Calibri" w:cs="Times New Roman"/>
          <w:b/>
          <w:sz w:val="16"/>
          <w:szCs w:val="16"/>
        </w:rPr>
      </w:pPr>
    </w:p>
    <w:p w14:paraId="485647E1" w14:textId="4F20DDD3" w:rsidR="00A458D5" w:rsidRPr="00A458D5" w:rsidRDefault="00A458D5" w:rsidP="00A458D5">
      <w:pPr>
        <w:spacing w:after="0" w:line="360" w:lineRule="auto"/>
        <w:rPr>
          <w:rFonts w:ascii="Times New Roman" w:eastAsia="Calibri" w:hAnsi="Times New Roman" w:cs="Times New Roman"/>
          <w:highlight w:val="green"/>
          <w:u w:val="single"/>
        </w:rPr>
      </w:pPr>
      <w:r w:rsidRPr="00A458D5">
        <w:rPr>
          <w:rFonts w:ascii="Times New Roman" w:eastAsia="Calibri" w:hAnsi="Times New Roman" w:cs="Times New Roman"/>
          <w:b/>
          <w:highlight w:val="green"/>
        </w:rPr>
        <w:t>Objector’s name</w:t>
      </w:r>
      <w:r w:rsidRPr="00A458D5">
        <w:rPr>
          <w:rFonts w:ascii="Times New Roman" w:eastAsia="Calibri" w:hAnsi="Times New Roman" w:cs="Times New Roman"/>
          <w:highlight w:val="green"/>
        </w:rPr>
        <w:t>:</w:t>
      </w:r>
      <w:r w:rsidRPr="00A458D5">
        <w:rPr>
          <w:rFonts w:ascii="Times New Roman" w:eastAsia="Calibri" w:hAnsi="Times New Roman" w:cs="Times New Roman"/>
          <w:highlight w:val="green"/>
          <w:u w:val="single"/>
        </w:rPr>
        <w:t>             </w:t>
      </w:r>
      <w:r w:rsidR="002B0176">
        <w:rPr>
          <w:rFonts w:ascii="Times New Roman" w:eastAsia="Calibri" w:hAnsi="Times New Roman" w:cs="Times New Roman"/>
          <w:highlight w:val="green"/>
          <w:u w:val="single"/>
        </w:rPr>
        <w:t>Michael Sedlock</w:t>
      </w:r>
      <w:r w:rsidRPr="00A458D5">
        <w:rPr>
          <w:rFonts w:ascii="Times New Roman" w:eastAsia="Calibri" w:hAnsi="Times New Roman" w:cs="Times New Roman"/>
          <w:highlight w:val="green"/>
          <w:u w:val="single"/>
        </w:rPr>
        <w:t>                                                                                                         </w:t>
      </w:r>
    </w:p>
    <w:p w14:paraId="3110504A" w14:textId="3AEAC085" w:rsidR="00A458D5" w:rsidRPr="00A458D5" w:rsidRDefault="00A458D5" w:rsidP="00A458D5">
      <w:pPr>
        <w:spacing w:after="0" w:line="360" w:lineRule="auto"/>
        <w:rPr>
          <w:rFonts w:ascii="Times New Roman" w:eastAsia="Calibri" w:hAnsi="Times New Roman" w:cs="Times New Roman"/>
          <w:highlight w:val="green"/>
        </w:rPr>
      </w:pPr>
      <w:r w:rsidRPr="00A458D5">
        <w:rPr>
          <w:rFonts w:ascii="Times New Roman" w:eastAsia="Calibri" w:hAnsi="Times New Roman" w:cs="Times New Roman"/>
          <w:b/>
          <w:highlight w:val="green"/>
        </w:rPr>
        <w:t>Address</w:t>
      </w:r>
      <w:r w:rsidRPr="00A458D5">
        <w:rPr>
          <w:rFonts w:ascii="Times New Roman" w:eastAsia="Calibri" w:hAnsi="Times New Roman" w:cs="Times New Roman"/>
          <w:highlight w:val="green"/>
        </w:rPr>
        <w:t>:</w:t>
      </w:r>
      <w:r w:rsidRPr="00A458D5">
        <w:rPr>
          <w:rFonts w:ascii="Times New Roman" w:eastAsia="Calibri" w:hAnsi="Times New Roman" w:cs="Times New Roman"/>
          <w:highlight w:val="green"/>
          <w:u w:val="single"/>
        </w:rPr>
        <w:t>       </w:t>
      </w:r>
      <w:r w:rsidR="002B0176">
        <w:rPr>
          <w:rFonts w:ascii="Times New Roman" w:eastAsia="Calibri" w:hAnsi="Times New Roman" w:cs="Times New Roman"/>
          <w:highlight w:val="green"/>
          <w:u w:val="single"/>
        </w:rPr>
        <w:t>1148 Tiller Court Helena, MT 59602</w:t>
      </w:r>
      <w:r w:rsidRPr="00A458D5">
        <w:rPr>
          <w:rFonts w:ascii="Times New Roman" w:eastAsia="Calibri" w:hAnsi="Times New Roman" w:cs="Times New Roman"/>
          <w:highlight w:val="green"/>
          <w:u w:val="single"/>
        </w:rPr>
        <w:t>                                                                                                                               </w:t>
      </w:r>
      <w:bookmarkStart w:id="0" w:name="_GoBack"/>
      <w:bookmarkEnd w:id="0"/>
    </w:p>
    <w:p w14:paraId="59E500A5" w14:textId="15F43BA0" w:rsidR="00A458D5" w:rsidRPr="00A458D5" w:rsidRDefault="00A458D5" w:rsidP="00A458D5">
      <w:pPr>
        <w:spacing w:after="0" w:line="360" w:lineRule="auto"/>
        <w:rPr>
          <w:rFonts w:ascii="Times New Roman" w:eastAsia="Calibri" w:hAnsi="Times New Roman" w:cs="Times New Roman"/>
          <w:highlight w:val="green"/>
        </w:rPr>
      </w:pPr>
      <w:r w:rsidRPr="00A458D5">
        <w:rPr>
          <w:rFonts w:ascii="Times New Roman" w:eastAsia="Calibri" w:hAnsi="Times New Roman" w:cs="Times New Roman"/>
          <w:b/>
          <w:highlight w:val="green"/>
        </w:rPr>
        <w:t>Phone # or</w:t>
      </w:r>
      <w:r w:rsidR="002B0176">
        <w:rPr>
          <w:rFonts w:ascii="Times New Roman" w:eastAsia="Calibri" w:hAnsi="Times New Roman" w:cs="Times New Roman"/>
          <w:b/>
          <w:highlight w:val="green"/>
        </w:rPr>
        <w:t xml:space="preserve"> Email;</w:t>
      </w:r>
      <w:r w:rsidRPr="00A458D5">
        <w:rPr>
          <w:rFonts w:ascii="Times New Roman" w:eastAsia="Calibri" w:hAnsi="Times New Roman" w:cs="Times New Roman"/>
          <w:highlight w:val="green"/>
          <w:u w:val="single"/>
        </w:rPr>
        <w:t>    </w:t>
      </w:r>
      <w:r w:rsidR="002B0176">
        <w:rPr>
          <w:rFonts w:ascii="Times New Roman" w:eastAsia="Calibri" w:hAnsi="Times New Roman" w:cs="Times New Roman"/>
          <w:highlight w:val="green"/>
          <w:u w:val="single"/>
        </w:rPr>
        <w:t xml:space="preserve">     mtctvarider@gmail.com</w:t>
      </w:r>
      <w:r w:rsidRPr="00A458D5">
        <w:rPr>
          <w:rFonts w:ascii="Times New Roman" w:eastAsia="Calibri" w:hAnsi="Times New Roman" w:cs="Times New Roman"/>
          <w:highlight w:val="green"/>
          <w:u w:val="single"/>
        </w:rPr>
        <w:t>                                                                                                              </w:t>
      </w:r>
    </w:p>
    <w:p w14:paraId="4156AB02" w14:textId="77777777" w:rsidR="00A458D5" w:rsidRPr="00A458D5" w:rsidRDefault="00A458D5" w:rsidP="00A458D5">
      <w:pPr>
        <w:spacing w:after="0" w:line="360" w:lineRule="auto"/>
        <w:rPr>
          <w:rFonts w:ascii="Times New Roman" w:eastAsia="Calibri" w:hAnsi="Times New Roman" w:cs="Times New Roman"/>
          <w:u w:val="single"/>
        </w:rPr>
      </w:pPr>
      <w:r w:rsidRPr="00A458D5">
        <w:rPr>
          <w:rFonts w:ascii="Times New Roman" w:eastAsia="Calibri" w:hAnsi="Times New Roman" w:cs="Times New Roman"/>
          <w:b/>
          <w:highlight w:val="green"/>
        </w:rPr>
        <w:t>Name of lead objector (if more than one)</w:t>
      </w:r>
      <w:r w:rsidRPr="00A458D5">
        <w:rPr>
          <w:rFonts w:ascii="Times New Roman" w:eastAsia="Calibri" w:hAnsi="Times New Roman" w:cs="Times New Roman"/>
          <w:highlight w:val="green"/>
        </w:rPr>
        <w:t>:</w:t>
      </w:r>
      <w:r w:rsidRPr="00A458D5">
        <w:rPr>
          <w:rFonts w:ascii="Times New Roman" w:eastAsia="Calibri" w:hAnsi="Times New Roman" w:cs="Times New Roman"/>
          <w:u w:val="single"/>
        </w:rPr>
        <w:t>                                                                           </w:t>
      </w:r>
    </w:p>
    <w:p w14:paraId="34EB493D" w14:textId="77777777" w:rsidR="00A458D5" w:rsidRDefault="00A458D5" w:rsidP="00A458D5">
      <w:pPr>
        <w:spacing w:after="0"/>
        <w:rPr>
          <w:rFonts w:ascii="Times New Roman" w:eastAsia="Calibri" w:hAnsi="Times New Roman" w:cs="Times New Roman"/>
          <w:sz w:val="16"/>
          <w:szCs w:val="16"/>
        </w:rPr>
      </w:pPr>
    </w:p>
    <w:p w14:paraId="16ABEA8B" w14:textId="77777777" w:rsidR="001E6440" w:rsidRDefault="001E6440" w:rsidP="001E6440">
      <w:pPr>
        <w:spacing w:after="0"/>
        <w:rPr>
          <w:i/>
          <w:iCs/>
          <w:color w:val="FF0000"/>
          <w:u w:val="single"/>
        </w:rPr>
      </w:pPr>
      <w:r w:rsidRPr="00565BE1">
        <w:rPr>
          <w:rFonts w:eastAsia="Calibri" w:cs="Times New Roman"/>
          <w:b/>
          <w:sz w:val="24"/>
          <w:szCs w:val="24"/>
          <w:u w:val="single"/>
        </w:rPr>
        <w:t>NOTE:</w:t>
      </w:r>
      <w:r>
        <w:rPr>
          <w:rFonts w:eastAsia="Calibri" w:cs="Times New Roman"/>
          <w:b/>
          <w:sz w:val="24"/>
          <w:szCs w:val="24"/>
        </w:rPr>
        <w:t xml:space="preserve"> </w:t>
      </w:r>
      <w:r w:rsidRPr="00B155A6">
        <w:rPr>
          <w:rFonts w:eastAsia="Calibri" w:cs="Times New Roman"/>
          <w:b/>
          <w:sz w:val="24"/>
          <w:szCs w:val="24"/>
        </w:rPr>
        <w:t xml:space="preserve">First off I intend to set the records straight </w:t>
      </w:r>
      <w:r>
        <w:rPr>
          <w:rFonts w:eastAsia="Calibri" w:cs="Times New Roman"/>
          <w:b/>
          <w:sz w:val="24"/>
          <w:szCs w:val="24"/>
        </w:rPr>
        <w:t>concerning</w:t>
      </w:r>
      <w:r w:rsidRPr="00B155A6">
        <w:rPr>
          <w:rFonts w:eastAsia="Calibri" w:cs="Times New Roman"/>
          <w:b/>
          <w:sz w:val="24"/>
          <w:szCs w:val="24"/>
        </w:rPr>
        <w:t xml:space="preserve"> the forest service’s statement;</w:t>
      </w:r>
      <w:r>
        <w:rPr>
          <w:rFonts w:eastAsia="Calibri" w:cs="Times New Roman"/>
          <w:sz w:val="24"/>
          <w:szCs w:val="24"/>
        </w:rPr>
        <w:t xml:space="preserve"> </w:t>
      </w:r>
      <w:r w:rsidRPr="00B036C3">
        <w:rPr>
          <w:i/>
          <w:iCs/>
          <w:highlight w:val="yellow"/>
        </w:rPr>
        <w:t>There were no issues raised for recreation opportunities during the scoping period for the proposed action and/or comment period on the DEIS.</w:t>
      </w:r>
      <w:r>
        <w:rPr>
          <w:i/>
          <w:iCs/>
        </w:rPr>
        <w:t xml:space="preserve">  </w:t>
      </w:r>
      <w:r>
        <w:rPr>
          <w:i/>
          <w:iCs/>
          <w:color w:val="FF0000"/>
        </w:rPr>
        <w:t xml:space="preserve">I’m supplying evidence from my comment letter and an article from the independent record proving that the forest service is lying about recreational opportunities not being presented and brought forth. </w:t>
      </w:r>
      <w:r w:rsidRPr="00565BE1">
        <w:rPr>
          <w:i/>
          <w:iCs/>
          <w:color w:val="FF0000"/>
          <w:u w:val="single"/>
        </w:rPr>
        <w:t>I’ve attached the two files.</w:t>
      </w:r>
    </w:p>
    <w:p w14:paraId="0E34D4E2" w14:textId="77777777" w:rsidR="001E6440" w:rsidRDefault="001E6440" w:rsidP="001E6440">
      <w:pPr>
        <w:spacing w:after="0"/>
        <w:rPr>
          <w:i/>
          <w:iCs/>
          <w:color w:val="FF0000"/>
          <w:u w:val="single"/>
        </w:rPr>
      </w:pPr>
    </w:p>
    <w:p w14:paraId="45F5AFBD" w14:textId="02CEB5CB" w:rsidR="001E6440" w:rsidRPr="001E6440" w:rsidRDefault="001E6440" w:rsidP="00A458D5">
      <w:pPr>
        <w:spacing w:after="0"/>
        <w:rPr>
          <w:rFonts w:eastAsia="Calibri" w:cs="Times New Roman"/>
          <w:sz w:val="24"/>
          <w:szCs w:val="24"/>
        </w:rPr>
      </w:pPr>
      <w:r>
        <w:rPr>
          <w:rFonts w:eastAsia="Calibri" w:cs="Times New Roman"/>
          <w:sz w:val="24"/>
          <w:szCs w:val="24"/>
        </w:rPr>
        <w:t xml:space="preserve">Secondly, I object to the forest services perceived authority to </w:t>
      </w:r>
      <w:r w:rsidR="002B0176">
        <w:rPr>
          <w:rFonts w:eastAsia="Calibri" w:cs="Times New Roman"/>
          <w:sz w:val="24"/>
          <w:szCs w:val="24"/>
        </w:rPr>
        <w:t xml:space="preserve">reclassify wilderness study </w:t>
      </w:r>
      <w:r>
        <w:rPr>
          <w:rFonts w:eastAsia="Calibri" w:cs="Times New Roman"/>
          <w:sz w:val="24"/>
          <w:szCs w:val="24"/>
        </w:rPr>
        <w:t>areas to permanent wilderness areas. Many of these study areas do NOT qualify as wilderness because they have a pre-history of mechanized, commercial, and motorized use</w:t>
      </w:r>
      <w:r w:rsidR="002B0176">
        <w:rPr>
          <w:rFonts w:eastAsia="Calibri" w:cs="Times New Roman"/>
          <w:sz w:val="24"/>
          <w:szCs w:val="24"/>
        </w:rPr>
        <w:t xml:space="preserve"> among other uses that disqualify them as wilderness</w:t>
      </w:r>
      <w:proofErr w:type="gramStart"/>
      <w:r w:rsidR="002B0176">
        <w:rPr>
          <w:rFonts w:eastAsia="Calibri" w:cs="Times New Roman"/>
          <w:sz w:val="24"/>
          <w:szCs w:val="24"/>
        </w:rPr>
        <w:t>.</w:t>
      </w:r>
      <w:r>
        <w:rPr>
          <w:rFonts w:eastAsia="Calibri" w:cs="Times New Roman"/>
          <w:sz w:val="24"/>
          <w:szCs w:val="24"/>
        </w:rPr>
        <w:t>.</w:t>
      </w:r>
      <w:proofErr w:type="gramEnd"/>
      <w:r>
        <w:rPr>
          <w:rFonts w:eastAsia="Calibri" w:cs="Times New Roman"/>
          <w:sz w:val="24"/>
          <w:szCs w:val="24"/>
        </w:rPr>
        <w:t xml:space="preserve"> Because they are</w:t>
      </w:r>
      <w:r w:rsidR="002B0176">
        <w:rPr>
          <w:rFonts w:eastAsia="Calibri" w:cs="Times New Roman"/>
          <w:sz w:val="24"/>
          <w:szCs w:val="24"/>
        </w:rPr>
        <w:t xml:space="preserve"> not</w:t>
      </w:r>
      <w:r>
        <w:rPr>
          <w:rFonts w:eastAsia="Calibri" w:cs="Times New Roman"/>
          <w:sz w:val="24"/>
          <w:szCs w:val="24"/>
        </w:rPr>
        <w:t xml:space="preserve"> being used as much as they used to be</w:t>
      </w:r>
      <w:r w:rsidR="002B0176">
        <w:rPr>
          <w:rFonts w:eastAsia="Calibri" w:cs="Times New Roman"/>
          <w:sz w:val="24"/>
          <w:szCs w:val="24"/>
        </w:rPr>
        <w:t>, because of the wilderness study hold,</w:t>
      </w:r>
      <w:r>
        <w:rPr>
          <w:rFonts w:eastAsia="Calibri" w:cs="Times New Roman"/>
          <w:sz w:val="24"/>
          <w:szCs w:val="24"/>
        </w:rPr>
        <w:t xml:space="preserve"> is not </w:t>
      </w:r>
      <w:r w:rsidR="002B0176">
        <w:rPr>
          <w:rFonts w:eastAsia="Calibri" w:cs="Times New Roman"/>
          <w:sz w:val="24"/>
          <w:szCs w:val="24"/>
        </w:rPr>
        <w:t>justification</w:t>
      </w:r>
      <w:r>
        <w:rPr>
          <w:rFonts w:eastAsia="Calibri" w:cs="Times New Roman"/>
          <w:sz w:val="24"/>
          <w:szCs w:val="24"/>
        </w:rPr>
        <w:t xml:space="preserve"> to close them and make an end play to</w:t>
      </w:r>
      <w:r w:rsidR="002B0176">
        <w:rPr>
          <w:rFonts w:eastAsia="Calibri" w:cs="Times New Roman"/>
          <w:sz w:val="24"/>
          <w:szCs w:val="24"/>
        </w:rPr>
        <w:t xml:space="preserve"> now</w:t>
      </w:r>
      <w:r>
        <w:rPr>
          <w:rFonts w:eastAsia="Calibri" w:cs="Times New Roman"/>
          <w:sz w:val="24"/>
          <w:szCs w:val="24"/>
        </w:rPr>
        <w:t xml:space="preserve"> </w:t>
      </w:r>
      <w:r w:rsidR="002B0176">
        <w:rPr>
          <w:rFonts w:eastAsia="Calibri" w:cs="Times New Roman"/>
          <w:sz w:val="24"/>
          <w:szCs w:val="24"/>
        </w:rPr>
        <w:t>identify them as</w:t>
      </w:r>
      <w:r>
        <w:rPr>
          <w:rFonts w:eastAsia="Calibri" w:cs="Times New Roman"/>
          <w:sz w:val="24"/>
          <w:szCs w:val="24"/>
        </w:rPr>
        <w:t xml:space="preserve"> wilderness designation.</w:t>
      </w:r>
    </w:p>
    <w:p w14:paraId="7D63AE43" w14:textId="77777777" w:rsidR="001E6440" w:rsidRPr="00A458D5" w:rsidRDefault="001E6440" w:rsidP="00A458D5">
      <w:pPr>
        <w:spacing w:after="0"/>
        <w:rPr>
          <w:rFonts w:ascii="Times New Roman" w:eastAsia="Calibri" w:hAnsi="Times New Roman" w:cs="Times New Roman"/>
          <w:sz w:val="16"/>
          <w:szCs w:val="16"/>
        </w:rPr>
      </w:pPr>
    </w:p>
    <w:p w14:paraId="41657703" w14:textId="77777777" w:rsidR="00A458D5" w:rsidRPr="00A458D5" w:rsidRDefault="00A458D5" w:rsidP="00A458D5">
      <w:pPr>
        <w:spacing w:after="0"/>
        <w:rPr>
          <w:rFonts w:ascii="Times New Roman" w:eastAsia="Calibri" w:hAnsi="Times New Roman" w:cs="Times New Roman"/>
          <w:b/>
        </w:rPr>
      </w:pPr>
      <w:r w:rsidRPr="00A458D5">
        <w:rPr>
          <w:rFonts w:ascii="Times New Roman" w:eastAsia="Calibri" w:hAnsi="Times New Roman" w:cs="Times New Roman"/>
          <w:b/>
        </w:rPr>
        <w:t>I object to the Helena Lewis and Clark National Forest Plan for the following reasons:</w:t>
      </w:r>
    </w:p>
    <w:p w14:paraId="2978C5CA" w14:textId="2144D9BD" w:rsidR="00CD7E92" w:rsidRDefault="00CD7E92"/>
    <w:p w14:paraId="6961ED91" w14:textId="4577ED3D" w:rsidR="003735EE" w:rsidRDefault="003735EE">
      <w:r>
        <w:t>(1)</w:t>
      </w:r>
    </w:p>
    <w:p w14:paraId="137643B9" w14:textId="13A8089F" w:rsidR="007878F9" w:rsidRDefault="00A458D5">
      <w:r>
        <w:t>The new HLCNF Plan has failed to address comments I submitted during the comment periods by not providing an alternative which increases access for both motorized and mechanized use. The demand for motorized and mechanized use has increased and</w:t>
      </w:r>
      <w:r w:rsidR="007878F9">
        <w:t xml:space="preserve"> this fact</w:t>
      </w:r>
      <w:r>
        <w:t xml:space="preserve"> has been acknowledged by the Forest Service in their </w:t>
      </w:r>
      <w:r w:rsidR="007878F9">
        <w:t>documents (</w:t>
      </w:r>
      <w:r w:rsidR="00DC4E01">
        <w:t xml:space="preserve">one example on </w:t>
      </w:r>
      <w:r w:rsidR="007878F9">
        <w:t>page 1, FEIS Summary),</w:t>
      </w:r>
      <w:r>
        <w:t xml:space="preserve"> yet no such alternative was given to the public. The plan states</w:t>
      </w:r>
      <w:r w:rsidR="007878F9">
        <w:t xml:space="preserve"> on page 2 of the FEIS Summary </w:t>
      </w:r>
      <w:r w:rsidR="003E71FC">
        <w:t>that</w:t>
      </w:r>
      <w:r w:rsidR="007878F9">
        <w:t xml:space="preserve"> the USDA FS Strategic Plan: Fiscal Year 2015-2020</w:t>
      </w:r>
      <w:r w:rsidR="003E71FC">
        <w:t xml:space="preserve"> contains 4 “outcome-oriented goals but only provides 2 of the 4 goals </w:t>
      </w:r>
      <w:r w:rsidR="00DC4E01">
        <w:t>are mentioned or considered in the new Forest Plan</w:t>
      </w:r>
      <w:r w:rsidR="003E71FC">
        <w:t xml:space="preserve">. </w:t>
      </w:r>
      <w:r w:rsidR="007878F9">
        <w:t xml:space="preserve"> </w:t>
      </w:r>
      <w:r w:rsidR="003E71FC">
        <w:t>By using only</w:t>
      </w:r>
      <w:r w:rsidR="007878F9">
        <w:t xml:space="preserve"> 2 of the 4 goals while ignoring other important goals in the USDA FS Strategic Plan</w:t>
      </w:r>
      <w:r w:rsidR="003E71FC">
        <w:t>, the new HLCNF Plan is flawed.</w:t>
      </w:r>
    </w:p>
    <w:p w14:paraId="713D395D" w14:textId="64ED6A45" w:rsidR="00A458D5" w:rsidRDefault="007878F9">
      <w:r>
        <w:lastRenderedPageBreak/>
        <w:t xml:space="preserve">Below are excepts from the USDA FS Strategic Plan which </w:t>
      </w:r>
      <w:r w:rsidR="003E71FC">
        <w:t xml:space="preserve">I believe the HLCNF Plan must consider in their decision but failed to address. </w:t>
      </w:r>
      <w:r>
        <w:t xml:space="preserve"> </w:t>
      </w:r>
      <w:r w:rsidR="00A458D5">
        <w:t xml:space="preserve"> </w:t>
      </w:r>
    </w:p>
    <w:p w14:paraId="6D892347" w14:textId="1948AC1A" w:rsidR="00E5521E" w:rsidRPr="003E71FC" w:rsidRDefault="00E5521E">
      <w:pPr>
        <w:rPr>
          <w:i/>
          <w:iCs/>
        </w:rPr>
      </w:pPr>
      <w:r w:rsidRPr="003E71FC">
        <w:rPr>
          <w:i/>
          <w:iCs/>
        </w:rPr>
        <w:t>Deliver Benefits to the Public</w:t>
      </w:r>
    </w:p>
    <w:p w14:paraId="07729251" w14:textId="39511AAC" w:rsidR="00E5521E" w:rsidRPr="003E71FC" w:rsidRDefault="00E5521E">
      <w:pPr>
        <w:rPr>
          <w:i/>
          <w:iCs/>
        </w:rPr>
      </w:pPr>
      <w:r w:rsidRPr="003E71FC">
        <w:rPr>
          <w:i/>
          <w:iCs/>
        </w:rPr>
        <w:t>Recognizing the importance of forest stewardship, our country set aside the national forest reserves in 1897 to “improve and protect the forest within the boundaries, or for the purpose of securing favorable conditions of water flows, and to furnish a continuous supply of timber.” In 1960, the Multiple-Use Sustained-Yield Act declared that the national forests should be managed “</w:t>
      </w:r>
      <w:r w:rsidRPr="003E71FC">
        <w:rPr>
          <w:i/>
          <w:iCs/>
          <w:highlight w:val="yellow"/>
        </w:rPr>
        <w:t>for outdoor recreation</w:t>
      </w:r>
      <w:r w:rsidRPr="003E71FC">
        <w:rPr>
          <w:i/>
          <w:iCs/>
        </w:rPr>
        <w:t>, range, timber, watershed, and wildlife and fish purposes.”</w:t>
      </w:r>
    </w:p>
    <w:p w14:paraId="4C9F3283" w14:textId="77777777" w:rsidR="00E5521E" w:rsidRPr="003E71FC" w:rsidRDefault="00E5521E">
      <w:pPr>
        <w:rPr>
          <w:i/>
          <w:iCs/>
        </w:rPr>
      </w:pPr>
    </w:p>
    <w:p w14:paraId="210CDC85" w14:textId="77791A30" w:rsidR="00E5521E" w:rsidRPr="003E71FC" w:rsidRDefault="00E5521E">
      <w:pPr>
        <w:rPr>
          <w:i/>
          <w:iCs/>
        </w:rPr>
      </w:pPr>
      <w:r w:rsidRPr="003E71FC">
        <w:rPr>
          <w:i/>
          <w:iCs/>
        </w:rPr>
        <w:t>Delivery of forest-related goods and services is integral to our mission at the Forest Service, stimulating tangible economic benefits to rural communities, such as private-sector investment and employment opportunities. The economic activity we support is directly attributable to the natural resource investments we make and the use of national forest and grassland resources that result in marketable products associated with outdoor recreation, hunting, fishing, timber production, livestock grazing, mineral production, land stewardship, and other activities.</w:t>
      </w:r>
    </w:p>
    <w:p w14:paraId="7BEE9E3E" w14:textId="760D0C85" w:rsidR="00E5521E" w:rsidRPr="003E71FC" w:rsidRDefault="00E5521E">
      <w:pPr>
        <w:rPr>
          <w:i/>
          <w:iCs/>
        </w:rPr>
      </w:pPr>
      <w:r w:rsidRPr="003E71FC">
        <w:rPr>
          <w:i/>
          <w:iCs/>
        </w:rPr>
        <w:t>Strategic Objective F. Connect people to the outdoors</w:t>
      </w:r>
    </w:p>
    <w:p w14:paraId="6DA64FD6" w14:textId="0E09EF4A" w:rsidR="00E5521E" w:rsidRDefault="00E5521E">
      <w:pPr>
        <w:rPr>
          <w:i/>
          <w:iCs/>
        </w:rPr>
      </w:pPr>
      <w:r w:rsidRPr="003E71FC">
        <w:rPr>
          <w:i/>
          <w:iCs/>
        </w:rPr>
        <w:t xml:space="preserve">We are broadening the scope of our recreational services to include more Americans, giving a wider range of access to the national forests and grasslands. We are making recreational facilities on the national forests and grasslands more accessible to everyone, including the estimated 57 million Americans with disabilities. Nationwide, we have more than 23,000 accessible recreational sites, such as campsites and picnic areas, and 8,000 accessible recreation buildings. By making our facilities more accessible, </w:t>
      </w:r>
      <w:bookmarkStart w:id="1" w:name="_Hlk42166609"/>
      <w:r w:rsidRPr="003E71FC">
        <w:rPr>
          <w:i/>
          <w:iCs/>
          <w:highlight w:val="yellow"/>
        </w:rPr>
        <w:t xml:space="preserve">we are also providing additional recreation opportunities for </w:t>
      </w:r>
      <w:bookmarkStart w:id="2" w:name="_Hlk42005066"/>
      <w:r w:rsidRPr="003E71FC">
        <w:rPr>
          <w:i/>
          <w:iCs/>
          <w:highlight w:val="yellow"/>
        </w:rPr>
        <w:t>senior citizens, large family groups, and families with infant strollers or young children</w:t>
      </w:r>
      <w:bookmarkEnd w:id="2"/>
      <w:r w:rsidRPr="003E71FC">
        <w:rPr>
          <w:i/>
          <w:iCs/>
          <w:highlight w:val="yellow"/>
        </w:rPr>
        <w:t>. We are committed to inclusive participation in recreation opportunities for all people, regardless of age or ability.</w:t>
      </w:r>
    </w:p>
    <w:bookmarkEnd w:id="1"/>
    <w:p w14:paraId="379B0131" w14:textId="4D332650" w:rsidR="003B6015" w:rsidRDefault="003E71FC">
      <w:r>
        <w:t>The Forest Service has been selective in what National Strategic planning direction they have included in the new Forest Plan.</w:t>
      </w:r>
      <w:r w:rsidR="003B6015">
        <w:t xml:space="preserve"> The National Strategic Plan clearly provides direction in increasing access and additional recreational opportunities for</w:t>
      </w:r>
      <w:r w:rsidR="003B6015">
        <w:rPr>
          <w:i/>
          <w:iCs/>
        </w:rPr>
        <w:t xml:space="preserve"> </w:t>
      </w:r>
      <w:r w:rsidR="003B6015" w:rsidRPr="003B6015">
        <w:rPr>
          <w:i/>
          <w:iCs/>
        </w:rPr>
        <w:t>senior citizens, large family groups, and families with infant strollers or young children</w:t>
      </w:r>
      <w:r w:rsidR="003B6015">
        <w:rPr>
          <w:i/>
          <w:iCs/>
        </w:rPr>
        <w:t xml:space="preserve">. </w:t>
      </w:r>
      <w:r w:rsidR="003B6015">
        <w:t xml:space="preserve">The Forest Service has ignored this National directive and instead has created a plan that reduces access opportunities. </w:t>
      </w:r>
      <w:r>
        <w:t xml:space="preserve"> </w:t>
      </w:r>
      <w:r w:rsidR="003B6015">
        <w:t>The HLCNF failed to follow the National Strategic Plan and even selectively removed some of the National goals in the new Forest Plan FEIS.</w:t>
      </w:r>
      <w:r>
        <w:t xml:space="preserve"> </w:t>
      </w:r>
      <w:r w:rsidR="003B6015">
        <w:t xml:space="preserve">This action </w:t>
      </w:r>
      <w:r w:rsidR="006727DA">
        <w:t>has created a Forest Plan</w:t>
      </w:r>
      <w:r>
        <w:t xml:space="preserve"> </w:t>
      </w:r>
      <w:r w:rsidR="006727DA">
        <w:t>which</w:t>
      </w:r>
      <w:r>
        <w:t xml:space="preserve"> should be considered arbitrary and capricious.</w:t>
      </w:r>
      <w:r w:rsidR="00DC4E01">
        <w:t xml:space="preserve"> I request review the Forest Plan for consistency with National policy and remand the decision until consistency is achieved.</w:t>
      </w:r>
    </w:p>
    <w:p w14:paraId="4809BD0F" w14:textId="77777777" w:rsidR="003B6015" w:rsidRDefault="003B6015"/>
    <w:p w14:paraId="2E2DB09E" w14:textId="305F65B9" w:rsidR="003E71FC" w:rsidRDefault="003E71FC">
      <w:r>
        <w:t xml:space="preserve"> </w:t>
      </w:r>
      <w:r w:rsidR="003735EE">
        <w:t>(2)</w:t>
      </w:r>
    </w:p>
    <w:p w14:paraId="56CE3941" w14:textId="522BDB36" w:rsidR="00DC4E01" w:rsidRDefault="00DC4E01">
      <w:r>
        <w:t xml:space="preserve">In </w:t>
      </w:r>
      <w:r w:rsidR="00302F90">
        <w:t xml:space="preserve">a letter dated April 23, 2019 from Region 1 Supervisor Leanne Martin, to Director, Ecosystems Assessment and Planning, she states “Any Regional memos, letters, or supplements guiding Land Management Plan revision dated before January 30, 2015 are suspended. A subsequent letter dated August 6,2019 from Forest Service Chief Victoria Christiansen to Idaho Senator Crapo, Senator </w:t>
      </w:r>
      <w:proofErr w:type="spellStart"/>
      <w:r w:rsidR="00302F90">
        <w:t>Risch</w:t>
      </w:r>
      <w:proofErr w:type="spellEnd"/>
      <w:r w:rsidR="00302F90">
        <w:t>, Congressman Fulcher, and Congressman Simpson states:</w:t>
      </w:r>
    </w:p>
    <w:p w14:paraId="7785955C" w14:textId="22D6D3FC" w:rsidR="00302F90" w:rsidRDefault="00302F90">
      <w:pPr>
        <w:rPr>
          <w:i/>
          <w:iCs/>
        </w:rPr>
      </w:pPr>
      <w:r>
        <w:rPr>
          <w:i/>
          <w:iCs/>
        </w:rPr>
        <w:lastRenderedPageBreak/>
        <w:t>Thank you for your letter of June 13, 2019, cosigned by your colleagues concerning management of recommended wilderness areas in the U.S. Department of Agriculture’s Forest Service Northern Region. I apologize for the delayed response.</w:t>
      </w:r>
    </w:p>
    <w:p w14:paraId="268F39E6" w14:textId="489F30AC" w:rsidR="00302F90" w:rsidRDefault="00302F90">
      <w:pPr>
        <w:rPr>
          <w:i/>
          <w:iCs/>
        </w:rPr>
      </w:pPr>
      <w:r>
        <w:rPr>
          <w:i/>
          <w:iCs/>
        </w:rPr>
        <w:t xml:space="preserve">I understand the perception that the Northern Region has a policy that differs from the national direction, based on guidance that was issued by former Regional </w:t>
      </w:r>
      <w:r w:rsidR="00D93662">
        <w:rPr>
          <w:i/>
          <w:iCs/>
        </w:rPr>
        <w:t>Forester Thomas L. Tidwell before the 2012 planning regulations. I assure you the Northern Region is following national policy. Enclosed is a memo signed by current Regional Forester Leanne Martin dated April 23, 2019, that clarifies that national direction implementing the 2012 planning regulations provides the policy and procedures for all land management planning efforts—all prior direction has been superseded.</w:t>
      </w:r>
    </w:p>
    <w:p w14:paraId="1E1B09CF" w14:textId="00F87B33" w:rsidR="00D93662" w:rsidRDefault="00D93662">
      <w:pPr>
        <w:rPr>
          <w:i/>
          <w:iCs/>
        </w:rPr>
      </w:pPr>
      <w:r>
        <w:rPr>
          <w:i/>
          <w:iCs/>
        </w:rPr>
        <w:t>I appreciate your ongoing collaborative engagement in land management planning and implementation efforts across the state of Idaho. The national policy provides a responsible official the discretion to implement a range of management options, provided the allowed activities and uses do not reduce the wilderness potential of an area. Government and public engagement in decisions affecting the National Forest system is critical as responsible officials apply their discretion to the management of these areas.</w:t>
      </w:r>
    </w:p>
    <w:p w14:paraId="579AF804" w14:textId="1CAD1202" w:rsidR="00D93662" w:rsidRDefault="00D93662">
      <w:pPr>
        <w:rPr>
          <w:i/>
          <w:iCs/>
        </w:rPr>
      </w:pPr>
      <w:r>
        <w:rPr>
          <w:i/>
          <w:iCs/>
        </w:rPr>
        <w:t>Thank you for your interest in the management of your National Forests. A similar response is being sent to your colleagues.</w:t>
      </w:r>
    </w:p>
    <w:p w14:paraId="3698A6C0" w14:textId="388A1D8D" w:rsidR="00D93662" w:rsidRPr="00D93662" w:rsidRDefault="00D93662">
      <w:r>
        <w:t xml:space="preserve">Previous guidance from Regional Forester Thomas Tidwell was to remove all motorized and mechanized use in areas recommended as wilderness. This guidance has been suspended. Helena Lewis and Clark National Forest Supervisor </w:t>
      </w:r>
      <w:r w:rsidR="00AB6F47">
        <w:t xml:space="preserve">Bill </w:t>
      </w:r>
      <w:proofErr w:type="spellStart"/>
      <w:r w:rsidR="00AB6F47">
        <w:t>Avey</w:t>
      </w:r>
      <w:proofErr w:type="spellEnd"/>
      <w:r w:rsidR="00AB6F47">
        <w:t xml:space="preserve"> has reinstated this blanket policy in the new Forest Plan as stated throughout the plan. For example see below an excerpt from the Draft Record of Decision.</w:t>
      </w:r>
    </w:p>
    <w:p w14:paraId="173D9A0D" w14:textId="60330D98" w:rsidR="00130FCB" w:rsidRPr="003E71FC" w:rsidRDefault="00130FCB">
      <w:pPr>
        <w:rPr>
          <w:i/>
          <w:iCs/>
          <w:sz w:val="24"/>
          <w:szCs w:val="24"/>
        </w:rPr>
      </w:pPr>
      <w:r w:rsidRPr="003E71FC">
        <w:rPr>
          <w:i/>
          <w:iCs/>
          <w:sz w:val="24"/>
          <w:szCs w:val="24"/>
        </w:rPr>
        <w:t>Draft Record of Decision</w:t>
      </w:r>
    </w:p>
    <w:p w14:paraId="219D6659" w14:textId="1D746311" w:rsidR="00130FCB" w:rsidRPr="00130FCB" w:rsidRDefault="00130FCB">
      <w:pPr>
        <w:rPr>
          <w:i/>
          <w:iCs/>
        </w:rPr>
      </w:pPr>
      <w:r w:rsidRPr="00130FCB">
        <w:rPr>
          <w:i/>
          <w:iCs/>
        </w:rPr>
        <w:t>Page 27</w:t>
      </w:r>
    </w:p>
    <w:p w14:paraId="006F0C65" w14:textId="5B821E7E" w:rsidR="00AB6F47" w:rsidRDefault="00130FCB" w:rsidP="00130FCB">
      <w:pPr>
        <w:rPr>
          <w:i/>
          <w:iCs/>
        </w:rPr>
      </w:pPr>
      <w:r w:rsidRPr="00130FCB">
        <w:rPr>
          <w:i/>
          <w:iCs/>
        </w:rPr>
        <w:t xml:space="preserve">A significant issue in the analysis was whether or not motorized and mechanized recreation uses affect wilderness characteristics and the potential for Congress to consider these areas as additions to the National Wilderness Preservation System. I reviewed the alternatives analyzed in the final EIS, some in which mechanized means of transportation in recommended wilderness </w:t>
      </w:r>
      <w:r w:rsidR="00DC4E01">
        <w:rPr>
          <w:i/>
          <w:iCs/>
        </w:rPr>
        <w:t>were</w:t>
      </w:r>
      <w:r w:rsidRPr="00130FCB">
        <w:rPr>
          <w:i/>
          <w:iCs/>
        </w:rPr>
        <w:t xml:space="preserve"> suitable and some in which these uses were unsuitable</w:t>
      </w:r>
      <w:r w:rsidRPr="00DC4E01">
        <w:rPr>
          <w:i/>
          <w:iCs/>
          <w:highlight w:val="yellow"/>
        </w:rPr>
        <w:t>. I decided that motorized uses (including snowmobiles) and mechanized means of transportation (mountain biking) are unsuitable in recommended wilderness.</w:t>
      </w:r>
      <w:r w:rsidRPr="00130FCB">
        <w:rPr>
          <w:i/>
          <w:iCs/>
        </w:rPr>
        <w:t xml:space="preserve"> This decision preserves the wilderness characteristics, including the sense of remoteness and the opportunities for solitude in recommended wilderness, recognizing that ample opportunities for motorized uses and mechanical means of transportation (mountain biking) are available outside of recommended wilderness. I arrived at my decision on recommended wilderness after extensive engagement with my staff, local governments, tribes, commenters, our public and consideration of all sides of the issue. There are those who prefer additional acres recommended as wilderness to protect places they consider special, or because they believe recommended wilderness management is the best strategy to protect wildlife and aquatic resources. There are also those that prefer I don’t recommend any additional areas because they believe management and access in recommended wilderness is too restrictive. I considered the existing uses, current allowable uses, and the protections afforded by other management overlays. I decided on recommending wilderness areas that are manageable, currently have little to no motorized and/or mechanized means of transportation uses, and which truly add value if designated as wilderness </w:t>
      </w:r>
      <w:r w:rsidRPr="00130FCB">
        <w:rPr>
          <w:i/>
          <w:iCs/>
        </w:rPr>
        <w:lastRenderedPageBreak/>
        <w:t xml:space="preserve">by Congress in the future. Although several commenters expressed concern that the management of recommended wilderness creates “de facto wilderness areas” in lieu of action by Congress, the Plan does not create wilderness. The Forest Service has an affirmative obligation to manage recommended wilderness areas for the social and ecological characteristics that provide the basis for their recommendation until Congress acts. There is </w:t>
      </w:r>
      <w:r w:rsidRPr="005B592F">
        <w:rPr>
          <w:i/>
          <w:iCs/>
          <w:highlight w:val="cyan"/>
        </w:rPr>
        <w:t>currently limited motorized and mechanized use within recommended wilderness areas. I have determined that this use is inconsistent with a future wilderness designation. The areas I have recommended for wilderness currently have 8 miles of open road, &lt;1 mile of motorized trail, 8,046 acres of motorized over snow use, and 135 miles of non-motorized trails open to mechanized means of transportation (including bicycles).</w:t>
      </w:r>
      <w:r w:rsidRPr="00130FCB">
        <w:rPr>
          <w:i/>
          <w:iCs/>
        </w:rPr>
        <w:t xml:space="preserve"> However, these</w:t>
      </w:r>
      <w:r>
        <w:rPr>
          <w:i/>
          <w:iCs/>
        </w:rPr>
        <w:t xml:space="preserve"> </w:t>
      </w:r>
      <w:r w:rsidRPr="00130FCB">
        <w:rPr>
          <w:i/>
          <w:iCs/>
        </w:rPr>
        <w:t>routes receive little, if any, use based upon our monitoring and what we’ve heard from the</w:t>
      </w:r>
      <w:r>
        <w:rPr>
          <w:i/>
          <w:iCs/>
        </w:rPr>
        <w:t xml:space="preserve"> </w:t>
      </w:r>
      <w:r w:rsidRPr="00130FCB">
        <w:rPr>
          <w:i/>
          <w:iCs/>
        </w:rPr>
        <w:t>public. This decision reflects public comment in favor of ensuring these areas remain</w:t>
      </w:r>
      <w:r>
        <w:rPr>
          <w:i/>
          <w:iCs/>
        </w:rPr>
        <w:t xml:space="preserve"> </w:t>
      </w:r>
      <w:r w:rsidRPr="00130FCB">
        <w:rPr>
          <w:i/>
          <w:iCs/>
        </w:rPr>
        <w:t>suitable for inclusion in the National Wilderness Preservation System, should Congress</w:t>
      </w:r>
      <w:r>
        <w:rPr>
          <w:i/>
          <w:iCs/>
        </w:rPr>
        <w:t xml:space="preserve"> </w:t>
      </w:r>
      <w:r w:rsidRPr="00130FCB">
        <w:rPr>
          <w:i/>
          <w:iCs/>
        </w:rPr>
        <w:t>make that decision. While motorized and mechanized uses are unsuitable under the Plan</w:t>
      </w:r>
      <w:r w:rsidRPr="00CD7E92">
        <w:rPr>
          <w:i/>
          <w:iCs/>
          <w:highlight w:val="yellow"/>
        </w:rPr>
        <w:t>, I will initiate site-specific NEPA decision per the Plan’s suitability direction to close these uses within the recommended wilderness areas within 3 years from the date of this decision.</w:t>
      </w:r>
    </w:p>
    <w:p w14:paraId="07805D18" w14:textId="77777777" w:rsidR="001E7240" w:rsidRDefault="00AB6F47" w:rsidP="00130FCB">
      <w:r>
        <w:t xml:space="preserve">The plan states that no specific current travel plans will be impacted and on page 1 of the Summary it states: </w:t>
      </w:r>
      <w:r w:rsidR="001E7240">
        <w:t>“</w:t>
      </w:r>
      <w:r>
        <w:rPr>
          <w:i/>
          <w:iCs/>
        </w:rPr>
        <w:t xml:space="preserve">The Forest Plan does not authorize site-specific </w:t>
      </w:r>
      <w:r w:rsidR="001E7240">
        <w:rPr>
          <w:i/>
          <w:iCs/>
        </w:rPr>
        <w:t>projects or actions”</w:t>
      </w:r>
      <w:r>
        <w:t xml:space="preserve"> yet the deciding officer states</w:t>
      </w:r>
      <w:r w:rsidR="001E7240">
        <w:t xml:space="preserve"> in the Draft Record of Decision that</w:t>
      </w:r>
      <w:r>
        <w:t xml:space="preserve"> he will close these areas</w:t>
      </w:r>
      <w:r w:rsidR="001E7240">
        <w:t xml:space="preserve"> of recommended wilderness</w:t>
      </w:r>
      <w:r>
        <w:t xml:space="preserve"> to historic use of motorized and mechanized use within 3 years. The supervisor does have discretion as stated by Chief Christiansen’s August letter, but the proposed HLCNF Plan is implementing a blanket closure of motorized and mechanized use in areas of recommended wilderness without proper analysis of these current uses on wilderness character.</w:t>
      </w:r>
      <w:r w:rsidR="001E7240">
        <w:t xml:space="preserve"> I request this action be reviewed and at a minimum the Forest Service should complete site specific analysis of the impact of the current use of motorized and mechanized use in these areas of recommended wilderness before making the decision to remove these uses. The forest wide decision to remove motorized and mechanized use in areas of recommended wilderness without site specific analysis is both arbitrary and capricious. </w:t>
      </w:r>
    </w:p>
    <w:p w14:paraId="3CE90CDF" w14:textId="63EB843B" w:rsidR="001E7240" w:rsidRDefault="001E7240" w:rsidP="001E7240">
      <w:pPr>
        <w:rPr>
          <w:i/>
          <w:iCs/>
        </w:rPr>
      </w:pPr>
      <w:r>
        <w:t>Motorized and mechanized use provide access opportunities that follow the National Strategic Plan of increasing access for all people, regardless of age and ability as seen in the following statement from the National Strategic Plan. “</w:t>
      </w:r>
      <w:r w:rsidRPr="003E71FC">
        <w:rPr>
          <w:i/>
          <w:iCs/>
          <w:highlight w:val="yellow"/>
        </w:rPr>
        <w:t>we are also providing additional recreation opportunities for senior citizens, large family groups, and families with infant strollers or young children. We are committed to inclusive participation in recreation opportunities for all people, regardless of age or ability.</w:t>
      </w:r>
      <w:r>
        <w:rPr>
          <w:i/>
          <w:iCs/>
        </w:rPr>
        <w:t>”</w:t>
      </w:r>
    </w:p>
    <w:p w14:paraId="71EB8AE2" w14:textId="608FF8B0" w:rsidR="001E7240" w:rsidRDefault="001E7240" w:rsidP="001E7240">
      <w:r>
        <w:t>The HLCNF Supervisor</w:t>
      </w:r>
      <w:r w:rsidR="00831A0C">
        <w:t xml:space="preserve"> has strayed for the National Strategic Plan by in fact reducing access to most people. Only the young and physically fit can walk or hike long distances into and on our federally managed public lands without assistance from motorized and mechanized transport. Even the Forest Service’s own surveys show an astounding %97 percent of the people recreate on lands open to multiple use while less than %3 recreate in designated wilderness or lands closed to motorized and mechanized use.</w:t>
      </w:r>
      <w:r>
        <w:t xml:space="preserve"> </w:t>
      </w:r>
      <w:r w:rsidR="00831A0C">
        <w:t xml:space="preserve">The proposed HLCNF Plan will remove even more access opportunities. </w:t>
      </w:r>
      <w:r w:rsidR="00681B00">
        <w:t>Again,</w:t>
      </w:r>
      <w:r w:rsidR="00831A0C">
        <w:t xml:space="preserve"> the Forest Service failed to provide an alternative to the public which would have increased motorized and mechanized use. NEPA requires a “wide range” of alternatives for the public to comment on during the process but no alternative to increase access for senior citizens, families with young children, the physically challenged, or the disabled was provided </w:t>
      </w:r>
      <w:r w:rsidR="00681B00">
        <w:t>to the public.</w:t>
      </w:r>
      <w:r w:rsidR="005B592F">
        <w:t xml:space="preserve"> This was a specific request made during the scoping process of the plan but was ignored.</w:t>
      </w:r>
      <w:r w:rsidR="00681B00">
        <w:t xml:space="preserve"> This is a clear violation of NEPA and I request the proposed plan be remanded until the plan is supplemented with an alternative that increases access opportunities for all people. This is the purpose of having a National Strategic Plan. Local decision makers and planning </w:t>
      </w:r>
      <w:r w:rsidR="00681B00">
        <w:lastRenderedPageBreak/>
        <w:t xml:space="preserve">teams </w:t>
      </w:r>
      <w:r w:rsidR="005B592F">
        <w:t>must</w:t>
      </w:r>
      <w:r w:rsidR="00681B00">
        <w:t xml:space="preserve"> not ignore national direction</w:t>
      </w:r>
      <w:r w:rsidR="005B592F">
        <w:t>,</w:t>
      </w:r>
      <w:r w:rsidR="00681B00">
        <w:t xml:space="preserve"> but in the case of the HLCNF, they have ignored</w:t>
      </w:r>
      <w:r w:rsidR="005B592F">
        <w:t xml:space="preserve"> the</w:t>
      </w:r>
      <w:r w:rsidR="00681B00">
        <w:t xml:space="preserve"> national direction</w:t>
      </w:r>
      <w:r w:rsidR="005B592F">
        <w:t xml:space="preserve"> of increasing access for all people</w:t>
      </w:r>
      <w:r w:rsidR="00681B00">
        <w:t>.</w:t>
      </w:r>
    </w:p>
    <w:p w14:paraId="0E446B8E" w14:textId="5E20D8DC" w:rsidR="00466B87" w:rsidRPr="001E7240" w:rsidRDefault="00466B87" w:rsidP="001E7240">
      <w:r w:rsidRPr="00466B87">
        <w:rPr>
          <w:highlight w:val="green"/>
        </w:rPr>
        <w:t>Signature:</w:t>
      </w:r>
    </w:p>
    <w:p w14:paraId="29D8B7A5" w14:textId="539FA9C4" w:rsidR="00AB6F47" w:rsidRPr="00AB6F47" w:rsidRDefault="001E7240" w:rsidP="00130FCB">
      <w:r>
        <w:t xml:space="preserve"> </w:t>
      </w:r>
      <w:r w:rsidR="00AB6F47">
        <w:t xml:space="preserve">  </w:t>
      </w:r>
    </w:p>
    <w:sectPr w:rsidR="00AB6F47" w:rsidRPr="00AB6F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21E"/>
    <w:rsid w:val="00130FCB"/>
    <w:rsid w:val="001E6440"/>
    <w:rsid w:val="001E7240"/>
    <w:rsid w:val="002B0176"/>
    <w:rsid w:val="002D365C"/>
    <w:rsid w:val="00302F90"/>
    <w:rsid w:val="00336FD6"/>
    <w:rsid w:val="003735EE"/>
    <w:rsid w:val="003B6015"/>
    <w:rsid w:val="003D7BF5"/>
    <w:rsid w:val="003E71FC"/>
    <w:rsid w:val="00466B87"/>
    <w:rsid w:val="005B592F"/>
    <w:rsid w:val="006727DA"/>
    <w:rsid w:val="00681B00"/>
    <w:rsid w:val="007878F9"/>
    <w:rsid w:val="00831A0C"/>
    <w:rsid w:val="00A458D5"/>
    <w:rsid w:val="00AB6F47"/>
    <w:rsid w:val="00CA1974"/>
    <w:rsid w:val="00CD7E92"/>
    <w:rsid w:val="00D93662"/>
    <w:rsid w:val="00DC4E01"/>
    <w:rsid w:val="00E5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360B0"/>
  <w15:chartTrackingRefBased/>
  <w15:docId w15:val="{BA3C9363-DFDD-49B6-B891-4A10FFDF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2107</Words>
  <Characters>12010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White</dc:creator>
  <cp:keywords/>
  <dc:description/>
  <cp:lastModifiedBy>Mike Sedlock</cp:lastModifiedBy>
  <cp:revision>2</cp:revision>
  <dcterms:created xsi:type="dcterms:W3CDTF">2020-07-21T00:52:00Z</dcterms:created>
  <dcterms:modified xsi:type="dcterms:W3CDTF">2020-07-21T00:52:00Z</dcterms:modified>
</cp:coreProperties>
</file>