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252707" w:rsidP="00A31583">
      <w:r>
        <w:t>6 Dec</w:t>
      </w:r>
      <w:r w:rsidR="00073464">
        <w:t xml:space="preserve"> </w:t>
      </w:r>
      <w:r w:rsidR="00EB5DCF">
        <w:t>2018</w:t>
      </w:r>
    </w:p>
    <w:p w:rsidR="00A31583" w:rsidRDefault="00A31583" w:rsidP="00A31583"/>
    <w:p w:rsidR="00A31583" w:rsidRDefault="00666A20" w:rsidP="00A31583">
      <w:r w:rsidRPr="00A31583">
        <w:t xml:space="preserve">TO: </w:t>
      </w:r>
      <w:r w:rsidRPr="00A31583">
        <w:rPr>
          <w:color w:val="534741"/>
          <w:shd w:val="clear" w:color="auto" w:fill="FFFFFF"/>
        </w:rPr>
        <w:t> </w:t>
      </w:r>
      <w:r w:rsidRPr="00A31583">
        <w:t xml:space="preserve"> </w:t>
      </w:r>
      <w:r w:rsidR="00252707">
        <w:tab/>
      </w:r>
      <w:hyperlink r:id="rId9" w:history="1">
        <w:r w:rsidR="00252707" w:rsidRPr="00243490">
          <w:rPr>
            <w:rStyle w:val="Hyperlink"/>
          </w:rPr>
          <w:t>comments-pacificnorthwest-mthood-barlow@fs.fed.us</w:t>
        </w:r>
      </w:hyperlink>
      <w:r w:rsidR="00252707">
        <w:t xml:space="preserve"> </w:t>
      </w:r>
    </w:p>
    <w:p w:rsidR="00252707" w:rsidRDefault="00252707" w:rsidP="00A31583">
      <w:r>
        <w:t xml:space="preserve">CC: </w:t>
      </w:r>
      <w:r>
        <w:tab/>
        <w:t xml:space="preserve">Kameron Sam, </w:t>
      </w:r>
      <w:hyperlink r:id="rId10" w:history="1">
        <w:r w:rsidRPr="00243490">
          <w:rPr>
            <w:rStyle w:val="Hyperlink"/>
          </w:rPr>
          <w:t>kcsam@fs.fed.us</w:t>
        </w:r>
      </w:hyperlink>
      <w:r>
        <w:t xml:space="preserve"> </w:t>
      </w:r>
    </w:p>
    <w:p w:rsidR="00D3167F" w:rsidRDefault="00D3167F" w:rsidP="00A31583">
      <w:r>
        <w:t xml:space="preserve">CC: </w:t>
      </w:r>
      <w:r>
        <w:tab/>
      </w:r>
      <w:r w:rsidRPr="00D3167F">
        <w:t>Kimberley Priestley</w:t>
      </w:r>
      <w:r>
        <w:t xml:space="preserve">, </w:t>
      </w:r>
      <w:hyperlink r:id="rId11" w:history="1">
        <w:r w:rsidRPr="00243490">
          <w:rPr>
            <w:rStyle w:val="Hyperlink"/>
          </w:rPr>
          <w:t>kjp@waterwatch.org</w:t>
        </w:r>
      </w:hyperlink>
      <w:r>
        <w:t xml:space="preserve"> </w:t>
      </w:r>
    </w:p>
    <w:p w:rsidR="00252707" w:rsidRDefault="00252707" w:rsidP="00A31583"/>
    <w:p w:rsidR="00666A20" w:rsidRPr="00D3167F" w:rsidRDefault="00666A20" w:rsidP="00A31583">
      <w:pPr>
        <w:rPr>
          <w:b/>
        </w:rPr>
      </w:pPr>
      <w:r w:rsidRPr="00D3167F">
        <w:rPr>
          <w:b/>
        </w:rPr>
        <w:t xml:space="preserve">Subject:  </w:t>
      </w:r>
      <w:r w:rsidR="00A565C2">
        <w:rPr>
          <w:b/>
        </w:rPr>
        <w:t xml:space="preserve">Dog River Pipeline Replacement </w:t>
      </w:r>
      <w:r w:rsidR="00A565C2" w:rsidRPr="00A565C2">
        <w:rPr>
          <w:b/>
        </w:rPr>
        <w:t xml:space="preserve">Preliminary </w:t>
      </w:r>
      <w:r w:rsidR="00252707" w:rsidRPr="00D3167F">
        <w:rPr>
          <w:b/>
        </w:rPr>
        <w:t xml:space="preserve">EA </w:t>
      </w:r>
      <w:r w:rsidRPr="00D3167F">
        <w:rPr>
          <w:b/>
        </w:rPr>
        <w:t>—</w:t>
      </w:r>
      <w:r w:rsidR="00073464" w:rsidRPr="00D3167F">
        <w:rPr>
          <w:b/>
        </w:rPr>
        <w:t xml:space="preserve"> </w:t>
      </w:r>
      <w:r w:rsidRPr="00D3167F">
        <w:rPr>
          <w:b/>
        </w:rPr>
        <w:t>comments</w:t>
      </w:r>
    </w:p>
    <w:p w:rsidR="00A31583" w:rsidRDefault="00A31583" w:rsidP="00A31583"/>
    <w:p w:rsidR="00666A20" w:rsidRPr="00A31583" w:rsidRDefault="00666A20" w:rsidP="00A31583">
      <w:r w:rsidRPr="00A31583">
        <w:t xml:space="preserve">Dear </w:t>
      </w:r>
      <w:r w:rsidR="00252707">
        <w:t>Forest Service</w:t>
      </w:r>
      <w:r w:rsidRPr="00A31583">
        <w:t>:</w:t>
      </w:r>
    </w:p>
    <w:p w:rsidR="00A31583" w:rsidRDefault="00A31583" w:rsidP="00A31583"/>
    <w:p w:rsidR="00666A20" w:rsidRPr="00A31583" w:rsidRDefault="00666A20" w:rsidP="00A31583">
      <w:r w:rsidRPr="00A31583">
        <w:t xml:space="preserve">Please accept the following comments from Oregon Wild concerning the </w:t>
      </w:r>
      <w:r w:rsidR="00A565C2">
        <w:t xml:space="preserve">Dog River Pipeline Replacement </w:t>
      </w:r>
      <w:r w:rsidR="00A565C2" w:rsidRPr="00A565C2">
        <w:t xml:space="preserve">Preliminary </w:t>
      </w:r>
      <w:bookmarkStart w:id="0" w:name="_GoBack"/>
      <w:bookmarkEnd w:id="0"/>
      <w:r w:rsidR="00252707">
        <w:t>EA</w:t>
      </w:r>
      <w:r w:rsidR="00EB5DCF">
        <w:t xml:space="preserve">, </w:t>
      </w:r>
      <w:hyperlink r:id="rId12" w:history="1">
        <w:r w:rsidR="00252707" w:rsidRPr="00243490">
          <w:rPr>
            <w:rStyle w:val="Hyperlink"/>
          </w:rPr>
          <w:t>https://www.fs.usda.gov/project/?project=34721</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7510D2" w:rsidRDefault="007510D2" w:rsidP="007510D2">
      <w:r>
        <w:t>The Proposed Action would replace old dilapidated 3.4 mile municipal water pipeline with a 24-inch-diameter ductile iron</w:t>
      </w:r>
      <w:r>
        <w:t xml:space="preserve"> </w:t>
      </w:r>
      <w:r>
        <w:t>pipe</w:t>
      </w:r>
      <w:r>
        <w:t xml:space="preserve">. </w:t>
      </w:r>
      <w:r>
        <w:t xml:space="preserve"> This new pipeline would parallel the alignment of the existing pipeline as much as elevation</w:t>
      </w:r>
      <w:r>
        <w:t xml:space="preserve"> </w:t>
      </w:r>
      <w:r>
        <w:t>permits. Existing trees and dead wood would be cut and removed within a 25-foot corridor.</w:t>
      </w:r>
      <w:r>
        <w:t xml:space="preserve"> </w:t>
      </w:r>
      <w:r>
        <w:t>Approximately 438 live trees ranging in size from 6” to 48” dbh that will be remove</w:t>
      </w:r>
      <w:r>
        <w:t>d. T</w:t>
      </w:r>
      <w:r>
        <w:t>he project will repair the</w:t>
      </w:r>
      <w:r>
        <w:t xml:space="preserve"> </w:t>
      </w:r>
      <w:r>
        <w:t>diversion structure and install fish screens, install a new culvert at Brooks Meadows Creek, and improve</w:t>
      </w:r>
      <w:r>
        <w:t xml:space="preserve"> </w:t>
      </w:r>
      <w:r>
        <w:t xml:space="preserve">summer low flows by adding 0.5 </w:t>
      </w:r>
      <w:proofErr w:type="spellStart"/>
      <w:r>
        <w:t>cfs</w:t>
      </w:r>
      <w:proofErr w:type="spellEnd"/>
      <w:r>
        <w:t xml:space="preserve"> into Dog River at the point of diversion between September 1st and</w:t>
      </w:r>
      <w:r>
        <w:t xml:space="preserve"> </w:t>
      </w:r>
      <w:r>
        <w:t>October 31</w:t>
      </w:r>
      <w:r w:rsidRPr="007510D2">
        <w:rPr>
          <w:vertAlign w:val="superscript"/>
        </w:rPr>
        <w:t>st</w:t>
      </w:r>
      <w:r>
        <w:t>.</w:t>
      </w:r>
    </w:p>
    <w:p w:rsidR="004A515D" w:rsidRDefault="004A515D" w:rsidP="007510D2"/>
    <w:p w:rsidR="00F443C7" w:rsidRDefault="004A515D" w:rsidP="00F443C7">
      <w:r>
        <w:t>In summary, we urge the FS and the City to implement the pipeline replacement project as carefully as possible so as to minimize the footprint of ground disturbance and tree removal. We also urge that much greater bypass flows be provided as a condition of approval of this project. The EA also needs to consider a wider range of alternatives that ensure compliance with legal requirements such as Aquatic Conservation Strategy, Endangered Species Act, federal reserved water rights, and state law regarding forfeiture of underutilized water rights.</w:t>
      </w:r>
      <w:r w:rsidR="00F443C7">
        <w:t xml:space="preserve"> Another reasonable alternative</w:t>
      </w:r>
      <w:r w:rsidR="00F443C7">
        <w:t xml:space="preserve"> </w:t>
      </w:r>
      <w:r w:rsidR="00F443C7">
        <w:t xml:space="preserve">is to recognize </w:t>
      </w:r>
      <w:r w:rsidR="00F443C7">
        <w:t xml:space="preserve">that the City has plans to increase </w:t>
      </w:r>
      <w:r w:rsidR="00F443C7">
        <w:t xml:space="preserve">their </w:t>
      </w:r>
      <w:r w:rsidR="00F443C7">
        <w:t>storage</w:t>
      </w:r>
      <w:r w:rsidR="00F443C7">
        <w:t xml:space="preserve"> capacity</w:t>
      </w:r>
      <w:r w:rsidR="00F443C7">
        <w:t xml:space="preserve">, so the city </w:t>
      </w:r>
      <w:r w:rsidR="00F443C7">
        <w:t xml:space="preserve">can </w:t>
      </w:r>
      <w:r w:rsidR="00F443C7">
        <w:t xml:space="preserve">fill their water storage during wet months and </w:t>
      </w:r>
      <w:r w:rsidR="00F443C7">
        <w:t>leave</w:t>
      </w:r>
      <w:r w:rsidR="00F443C7">
        <w:t xml:space="preserve"> more water instream during dry months.</w:t>
      </w:r>
    </w:p>
    <w:p w:rsidR="007510D2" w:rsidRDefault="007510D2" w:rsidP="007510D2"/>
    <w:p w:rsidR="007510D2" w:rsidRDefault="007510D2" w:rsidP="007510D2">
      <w:r>
        <w:lastRenderedPageBreak/>
        <w:t xml:space="preserve">The PEA says the new pipeline will </w:t>
      </w:r>
      <w:r>
        <w:t>“</w:t>
      </w:r>
      <w:r>
        <w:t>allow[]</w:t>
      </w:r>
      <w:r>
        <w:t xml:space="preserve"> the City of The </w:t>
      </w:r>
      <w:proofErr w:type="spellStart"/>
      <w:r>
        <w:t>Dalles</w:t>
      </w:r>
      <w:proofErr w:type="spellEnd"/>
      <w:r>
        <w:t xml:space="preserve"> to fully utilize their water right.” </w:t>
      </w:r>
      <w:r w:rsidRPr="007510D2">
        <w:t>According to the project description</w:t>
      </w:r>
      <w:r>
        <w:t xml:space="preserve"> in the State of Oregon’s </w:t>
      </w:r>
      <w:r w:rsidRPr="007510D2">
        <w:t xml:space="preserve">Water Development Loan and Grant Program, the pipeline replacement will double the City’s capacity from 8 million gallons to 17 million gallons (from 12.4 to 26.3 </w:t>
      </w:r>
      <w:proofErr w:type="spellStart"/>
      <w:r w:rsidRPr="007510D2">
        <w:t>cfs</w:t>
      </w:r>
      <w:proofErr w:type="spellEnd"/>
      <w:r w:rsidRPr="007510D2">
        <w:t>).</w:t>
      </w:r>
    </w:p>
    <w:p w:rsidR="007510D2" w:rsidRDefault="007510D2" w:rsidP="007510D2"/>
    <w:p w:rsidR="00564A5F" w:rsidRDefault="001F283A" w:rsidP="005F504E">
      <w:r w:rsidRPr="001F283A">
        <w:t xml:space="preserve">Dog River is an important </w:t>
      </w:r>
      <w:r w:rsidR="00564A5F">
        <w:t xml:space="preserve">tributary of the </w:t>
      </w:r>
      <w:r w:rsidR="006745AF" w:rsidRPr="006745AF">
        <w:t>South Fork Mill Creek</w:t>
      </w:r>
      <w:r w:rsidR="006745AF">
        <w:t xml:space="preserve"> in the </w:t>
      </w:r>
      <w:r w:rsidR="00564A5F">
        <w:t xml:space="preserve">East Fork Hood River </w:t>
      </w:r>
      <w:r w:rsidR="006745AF">
        <w:t>5</w:t>
      </w:r>
      <w:r w:rsidR="006745AF" w:rsidRPr="006745AF">
        <w:rPr>
          <w:vertAlign w:val="superscript"/>
        </w:rPr>
        <w:t>th</w:t>
      </w:r>
      <w:r w:rsidR="006745AF">
        <w:t xml:space="preserve"> Field Watershed. Dog River has </w:t>
      </w:r>
      <w:r w:rsidR="00564A5F">
        <w:t xml:space="preserve">a mean annual discharge of 19 </w:t>
      </w:r>
      <w:proofErr w:type="spellStart"/>
      <w:r w:rsidR="00564A5F">
        <w:t>cfs</w:t>
      </w:r>
      <w:proofErr w:type="spellEnd"/>
      <w:r w:rsidR="00564A5F">
        <w:t xml:space="preserve"> and provides important habitat </w:t>
      </w:r>
      <w:r w:rsidRPr="001F283A">
        <w:t xml:space="preserve">for </w:t>
      </w:r>
      <w:r w:rsidR="005F504E">
        <w:t>at-risk</w:t>
      </w:r>
      <w:r w:rsidRPr="001F283A">
        <w:t xml:space="preserve"> </w:t>
      </w:r>
      <w:r w:rsidR="005F504E">
        <w:t>salmonids</w:t>
      </w:r>
      <w:r w:rsidRPr="001F283A">
        <w:t xml:space="preserve">, including chinook, </w:t>
      </w:r>
      <w:proofErr w:type="spellStart"/>
      <w:r w:rsidRPr="001F283A">
        <w:t>coho</w:t>
      </w:r>
      <w:proofErr w:type="spellEnd"/>
      <w:r w:rsidRPr="001F283A">
        <w:t>, steelhead</w:t>
      </w:r>
      <w:r w:rsidR="00564A5F">
        <w:t xml:space="preserve">, and a pure strain of cutthroat trout </w:t>
      </w:r>
      <w:r w:rsidR="00564A5F" w:rsidRPr="00564A5F">
        <w:t xml:space="preserve"> </w:t>
      </w:r>
      <w:r w:rsidR="005F504E">
        <w:t xml:space="preserve">Gregg, R. and F. W. </w:t>
      </w:r>
      <w:proofErr w:type="spellStart"/>
      <w:r w:rsidR="005F504E">
        <w:t>Allendorf</w:t>
      </w:r>
      <w:proofErr w:type="spellEnd"/>
      <w:r w:rsidR="005F504E">
        <w:t xml:space="preserve">. 1995. Systematics of </w:t>
      </w:r>
      <w:proofErr w:type="spellStart"/>
      <w:r w:rsidR="005F504E" w:rsidRPr="005F504E">
        <w:rPr>
          <w:i/>
        </w:rPr>
        <w:t>Oncorhynchus</w:t>
      </w:r>
      <w:proofErr w:type="spellEnd"/>
      <w:r w:rsidR="005F504E">
        <w:t xml:space="preserve"> species in the vicinity of</w:t>
      </w:r>
      <w:r w:rsidR="005F504E">
        <w:t xml:space="preserve"> </w:t>
      </w:r>
      <w:r w:rsidR="005F504E">
        <w:t>Mt. Hood: Preliminary Report to Oregon Department of Fish and Wildlife</w:t>
      </w:r>
      <w:r w:rsidR="005F504E">
        <w:t>.</w:t>
      </w:r>
      <w:r>
        <w:t xml:space="preserve"> </w:t>
      </w:r>
    </w:p>
    <w:p w:rsidR="00564A5F" w:rsidRDefault="00564A5F" w:rsidP="00A31583"/>
    <w:p w:rsidR="001F283A" w:rsidRDefault="00564A5F" w:rsidP="00A31583">
      <w:r>
        <w:t xml:space="preserve">Dog River </w:t>
      </w:r>
      <w:r w:rsidR="001F283A">
        <w:t xml:space="preserve">appears to be </w:t>
      </w:r>
      <w:r>
        <w:t xml:space="preserve">designated as </w:t>
      </w:r>
      <w:r w:rsidR="001F283A">
        <w:t xml:space="preserve">a Key Watershed but that fact </w:t>
      </w:r>
      <w:r>
        <w:t>(and its legal implications) do</w:t>
      </w:r>
      <w:r w:rsidR="001F283A">
        <w:t xml:space="preserve"> not appear to be addressed in the PEA.</w:t>
      </w:r>
    </w:p>
    <w:p w:rsidR="001F283A" w:rsidRDefault="001F283A" w:rsidP="00A31583"/>
    <w:p w:rsidR="00252707" w:rsidRDefault="00252707" w:rsidP="00A31583">
      <w:r>
        <w:t xml:space="preserve">The FS must not approve a pipeline with a larger capacity than the existing pipeline. To authorize a larger pipeline would violate state water law and </w:t>
      </w:r>
      <w:r w:rsidR="00FE3CAB">
        <w:t xml:space="preserve">possibly </w:t>
      </w:r>
      <w:r>
        <w:t>federal reserved water rights.</w:t>
      </w:r>
      <w:r w:rsidR="007510D2">
        <w:t xml:space="preserve"> The PEA fails to address significant issues </w:t>
      </w:r>
      <w:r w:rsidR="00A0403B">
        <w:t>related to</w:t>
      </w:r>
      <w:r w:rsidR="007510D2">
        <w:t xml:space="preserve"> the perfection of water rights and </w:t>
      </w:r>
      <w:r w:rsidR="00A0403B">
        <w:t>ACS compliance.</w:t>
      </w:r>
    </w:p>
    <w:p w:rsidR="00252707" w:rsidRDefault="00252707" w:rsidP="00A31583"/>
    <w:p w:rsidR="00252707" w:rsidRDefault="00FE3CAB" w:rsidP="00A31583">
      <w:r>
        <w:t>E</w:t>
      </w:r>
      <w:r w:rsidR="00252707">
        <w:t xml:space="preserve">ven if the City of The </w:t>
      </w:r>
      <w:proofErr w:type="spellStart"/>
      <w:r w:rsidR="00252707">
        <w:t>Dalles</w:t>
      </w:r>
      <w:proofErr w:type="spellEnd"/>
      <w:r w:rsidR="00252707">
        <w:t xml:space="preserve"> was granted a paper water right for the full flow of Dog River, the city never perfected that water right by diverting and putting to beneficial use the full flow of the river. The city’s water right is therefore limited to the amount they have actually appropriated and put to beneficial use. That amount is determined by the capacity of their existing diversion and pipeline.</w:t>
      </w:r>
      <w:r w:rsidR="0088444A">
        <w:t xml:space="preserve"> In</w:t>
      </w:r>
      <w:r w:rsidR="003566F5">
        <w:t xml:space="preserve"> comments </w:t>
      </w:r>
      <w:r w:rsidR="0088444A">
        <w:t xml:space="preserve">dated Sept 21, 2018 addressed </w:t>
      </w:r>
      <w:r w:rsidR="003566F5">
        <w:t xml:space="preserve">to the </w:t>
      </w:r>
      <w:r w:rsidR="0088444A">
        <w:t xml:space="preserve">Oregon </w:t>
      </w:r>
      <w:r w:rsidR="003566F5">
        <w:t>Water Resources Department</w:t>
      </w:r>
      <w:r w:rsidR="0088444A">
        <w:t xml:space="preserve">’s </w:t>
      </w:r>
      <w:r w:rsidR="0088444A" w:rsidRPr="0088444A">
        <w:t>SB 839 Water Development Loan and Grant Program</w:t>
      </w:r>
      <w:r w:rsidR="0088444A">
        <w:t xml:space="preserve">, </w:t>
      </w:r>
      <w:proofErr w:type="spellStart"/>
      <w:r w:rsidR="0088444A">
        <w:t>WaterWatch</w:t>
      </w:r>
      <w:proofErr w:type="spellEnd"/>
      <w:r w:rsidR="0088444A">
        <w:t xml:space="preserve"> of Oregon noted:</w:t>
      </w:r>
    </w:p>
    <w:p w:rsidR="003566F5" w:rsidRDefault="003566F5" w:rsidP="003566F5">
      <w:pPr>
        <w:ind w:left="720"/>
      </w:pPr>
      <w:r>
        <w:t xml:space="preserve">... </w:t>
      </w:r>
      <w:r w:rsidRPr="003566F5">
        <w:t xml:space="preserve">this project will allow revival of a portion of a water right that, by all accounts, should have been cancelled by the state years ago. While the City’s water right allows them to divert the whole of Dog River, the City’s application materials are very clear that the maximum capacity of its Dog River diversion has been limited to 12.4 </w:t>
      </w:r>
      <w:proofErr w:type="spellStart"/>
      <w:r w:rsidRPr="003566F5">
        <w:t>cfs</w:t>
      </w:r>
      <w:proofErr w:type="spellEnd"/>
      <w:r w:rsidRPr="003566F5">
        <w:t xml:space="preserve"> for the last one hundred and seven years (since 1911). The forfeiture statues are clear that unless a water right holder’s facilities could divert the full rate and duty and the holder was otherwise ready, willing and able to use the entire amount of the water allowed under a water right, there is a presumption of forfeiture for the amount not diverted for five years or more. ORS 540.610(1).</w:t>
      </w:r>
      <w:r w:rsidR="0088444A">
        <w:t xml:space="preserve"> </w:t>
      </w:r>
      <w:r w:rsidR="0088444A" w:rsidRPr="0088444A">
        <w:t xml:space="preserve">This water has not been used in over a century and the City’s diversion does not have, and has not ever had, the capacity to withdraw over 12.4 </w:t>
      </w:r>
      <w:proofErr w:type="spellStart"/>
      <w:r w:rsidR="0088444A" w:rsidRPr="0088444A">
        <w:t>cfs</w:t>
      </w:r>
      <w:proofErr w:type="spellEnd"/>
      <w:r w:rsidR="0088444A" w:rsidRPr="0088444A">
        <w:t xml:space="preserve">. Given the facts, we would encourage the state to proceed with cancellation of the unused portion of the water right (limiting the right to 12.4 </w:t>
      </w:r>
      <w:proofErr w:type="spellStart"/>
      <w:r w:rsidR="0088444A" w:rsidRPr="0088444A">
        <w:t>cfs</w:t>
      </w:r>
      <w:proofErr w:type="spellEnd"/>
      <w:r w:rsidR="0088444A" w:rsidRPr="0088444A">
        <w:t>) not fund a project that would grant it access to this long unused, and arguably forfeited, water.</w:t>
      </w:r>
    </w:p>
    <w:p w:rsidR="00252707" w:rsidRDefault="00252707" w:rsidP="00A31583"/>
    <w:p w:rsidR="002F22C2" w:rsidRDefault="002F22C2" w:rsidP="00A31583">
      <w:r>
        <w:lastRenderedPageBreak/>
        <w:t>The relevant forfeiture statute provides:</w:t>
      </w:r>
    </w:p>
    <w:p w:rsidR="002F22C2" w:rsidRDefault="002F22C2" w:rsidP="002F22C2">
      <w:pPr>
        <w:ind w:left="720"/>
      </w:pPr>
      <w:r>
        <w:t>ORS 540.610</w:t>
      </w:r>
    </w:p>
    <w:p w:rsidR="002F22C2" w:rsidRDefault="002F22C2" w:rsidP="002F22C2">
      <w:pPr>
        <w:ind w:left="720"/>
      </w:pPr>
      <w:r>
        <w:t>(1)</w:t>
      </w:r>
      <w:r>
        <w:t xml:space="preserve"> </w:t>
      </w:r>
      <w:r w:rsidRPr="002F22C2">
        <w:t>Beneficial use shall be the basis, the measure and the limit of all rights to the use of water in this state. Whenever the owner of a perfected and developed water right ceases or fails to use all or part of the water appropriated for a period of five successive years, the failure to use shall establish a rebuttable presumption of forfeiture of all or part of the water right.</w:t>
      </w:r>
    </w:p>
    <w:p w:rsidR="002F22C2" w:rsidRDefault="002F22C2" w:rsidP="00A31583">
      <w:hyperlink r:id="rId13" w:history="1">
        <w:r w:rsidRPr="00243490">
          <w:rPr>
            <w:rStyle w:val="Hyperlink"/>
          </w:rPr>
          <w:t>https://www.oregonlaws.org/ors/540.610</w:t>
        </w:r>
      </w:hyperlink>
      <w:r w:rsidR="00F443C7">
        <w:t xml:space="preserve">. Though municipal water rights get </w:t>
      </w:r>
      <w:r w:rsidR="00F443C7" w:rsidRPr="00D3167F">
        <w:rPr>
          <w:i/>
        </w:rPr>
        <w:t>some</w:t>
      </w:r>
      <w:r w:rsidR="00F443C7">
        <w:t xml:space="preserve"> leeway with respect to forfeiture, more than 100 years of non-use raises serious doubts about the legal validity of doubling the diversion of Dog River.</w:t>
      </w:r>
    </w:p>
    <w:p w:rsidR="002F22C2" w:rsidRDefault="002F22C2" w:rsidP="00A31583"/>
    <w:p w:rsidR="00712BE5" w:rsidRDefault="00712BE5" w:rsidP="00A31583">
      <w:r>
        <w:t>The portion of the flow of Dog River that has not been appropriated by the city is likely covered by a federal reserved water right dating from the 1893 establishment of the Cascade Range Forest Reserve.</w:t>
      </w:r>
      <w:r w:rsidR="003C4DF5">
        <w:t xml:space="preserve"> Maintaining some minimum level of instream flow in Dog River is necessary to fulfill the purposes of the reservation, such as the aquatic and riparian habitat in and adjacent to the river.</w:t>
      </w:r>
    </w:p>
    <w:p w:rsidR="00B75D82" w:rsidRDefault="00B75D82" w:rsidP="00A31583"/>
    <w:p w:rsidR="00B75D82" w:rsidRPr="00A0403B" w:rsidRDefault="00B75D82" w:rsidP="00B75D82">
      <w:pPr>
        <w:autoSpaceDE w:val="0"/>
        <w:autoSpaceDN w:val="0"/>
        <w:adjustRightInd w:val="0"/>
        <w:spacing w:line="240" w:lineRule="auto"/>
      </w:pPr>
      <w:r>
        <w:t>Increasing diversions from Dog River raises concerns about Endangered Species Act violations because some of the fish in the dewatered reach are listed under the ESA.</w:t>
      </w:r>
    </w:p>
    <w:p w:rsidR="007510D2" w:rsidRDefault="007510D2" w:rsidP="00A31583"/>
    <w:p w:rsidR="0088444A" w:rsidRDefault="00564A5F" w:rsidP="001F283A">
      <w:pPr>
        <w:autoSpaceDE w:val="0"/>
        <w:autoSpaceDN w:val="0"/>
        <w:adjustRightInd w:val="0"/>
        <w:spacing w:line="240" w:lineRule="auto"/>
      </w:pPr>
      <w:r>
        <w:t>Increasing the</w:t>
      </w:r>
      <w:r w:rsidR="007510D2" w:rsidRPr="00A0403B">
        <w:t xml:space="preserve"> pipeline </w:t>
      </w:r>
      <w:r w:rsidRPr="00A0403B">
        <w:t xml:space="preserve">capacity </w:t>
      </w:r>
      <w:r w:rsidR="007510D2" w:rsidRPr="00A0403B">
        <w:t xml:space="preserve">appears to violate the standards &amp; guidelines for riparian reserves which require the Forest Service to maintain instream flows necessary to meet Aquatic Conservation Strategy </w:t>
      </w:r>
      <w:r w:rsidR="00A0403B" w:rsidRPr="00A0403B">
        <w:t xml:space="preserve">objectives. </w:t>
      </w:r>
      <w:r w:rsidR="0088444A">
        <w:t xml:space="preserve">Instream water rights in Dog River are currently not being met in summer and fall. </w:t>
      </w:r>
      <w:proofErr w:type="spellStart"/>
      <w:r w:rsidR="0088444A" w:rsidRPr="00564A5F">
        <w:t>Coccoli</w:t>
      </w:r>
      <w:proofErr w:type="spellEnd"/>
      <w:r w:rsidR="0088444A" w:rsidRPr="00564A5F">
        <w:t>,</w:t>
      </w:r>
      <w:r w:rsidR="0088444A">
        <w:t xml:space="preserve"> H.</w:t>
      </w:r>
      <w:r w:rsidR="0088444A" w:rsidRPr="00564A5F">
        <w:t xml:space="preserve"> </w:t>
      </w:r>
      <w:r w:rsidR="0088444A">
        <w:t xml:space="preserve">1999. Hood River Watershed Assessment. </w:t>
      </w:r>
      <w:r w:rsidR="0088444A" w:rsidRPr="00564A5F">
        <w:t xml:space="preserve"> Hood River Watershed Group</w:t>
      </w:r>
      <w:r w:rsidR="0088444A">
        <w:t xml:space="preserve">. </w:t>
      </w:r>
      <w:r w:rsidR="0088444A" w:rsidRPr="00564A5F">
        <w:t xml:space="preserve"> </w:t>
      </w:r>
      <w:hyperlink r:id="rId14" w:history="1">
        <w:r w:rsidR="0088444A" w:rsidRPr="00243490">
          <w:rPr>
            <w:rStyle w:val="Hyperlink"/>
          </w:rPr>
          <w:t>https://nrimp.dfw.state.or.us/web%20stores/data%20libraries/files/Watershed%20Councils/Watershed%20Councils_300_DOC_HoodR_WSassess_1999.pdf</w:t>
        </w:r>
      </w:hyperlink>
      <w:r w:rsidR="0088444A">
        <w:t xml:space="preserve">. This project will exacerbate that problem. </w:t>
      </w:r>
      <w:r w:rsidR="0088444A">
        <w:t>Relevant standards &amp; guidelines from the Mt Hood LRMP as amended by the Northwest Forest Plan state:</w:t>
      </w:r>
    </w:p>
    <w:p w:rsidR="0088444A" w:rsidRDefault="00A0403B" w:rsidP="0088444A">
      <w:pPr>
        <w:pStyle w:val="ListParagraph"/>
        <w:numPr>
          <w:ilvl w:val="0"/>
          <w:numId w:val="4"/>
        </w:numPr>
        <w:autoSpaceDE w:val="0"/>
        <w:autoSpaceDN w:val="0"/>
        <w:adjustRightInd w:val="0"/>
        <w:spacing w:line="240" w:lineRule="auto"/>
      </w:pPr>
      <w:r w:rsidRPr="00A0403B">
        <w:t>LH-1</w:t>
      </w:r>
      <w:r w:rsidRPr="00A0403B">
        <w:t xml:space="preserve"> says</w:t>
      </w:r>
      <w:r w:rsidRPr="00A0403B">
        <w:t xml:space="preserve"> </w:t>
      </w:r>
      <w:r w:rsidRPr="00A0403B">
        <w:t>“</w:t>
      </w:r>
      <w:r w:rsidRPr="00A0403B">
        <w:t>Identify in-stream flows needed to maintain riparian resources, channel conditions,</w:t>
      </w:r>
      <w:r w:rsidRPr="00A0403B">
        <w:t xml:space="preserve"> </w:t>
      </w:r>
      <w:r w:rsidRPr="00A0403B">
        <w:t>and fish passage.</w:t>
      </w:r>
      <w:r w:rsidRPr="00A0403B">
        <w:t xml:space="preserve">” </w:t>
      </w:r>
    </w:p>
    <w:p w:rsidR="0088444A" w:rsidRDefault="00A0403B" w:rsidP="0088444A">
      <w:pPr>
        <w:pStyle w:val="ListParagraph"/>
        <w:numPr>
          <w:ilvl w:val="0"/>
          <w:numId w:val="4"/>
        </w:numPr>
        <w:autoSpaceDE w:val="0"/>
        <w:autoSpaceDN w:val="0"/>
        <w:adjustRightInd w:val="0"/>
        <w:spacing w:line="240" w:lineRule="auto"/>
      </w:pPr>
      <w:r w:rsidRPr="00A0403B">
        <w:t>RA-1 says “</w:t>
      </w:r>
      <w:r w:rsidRPr="00A0403B">
        <w:t>Identify and attempt to secure in-stream flows needed to maintain riparian resources,</w:t>
      </w:r>
      <w:r w:rsidRPr="00A0403B">
        <w:t xml:space="preserve"> </w:t>
      </w:r>
      <w:r w:rsidRPr="00A0403B">
        <w:t>channel conditions, and aquatic habitat.</w:t>
      </w:r>
      <w:r w:rsidRPr="00A0403B">
        <w:t xml:space="preserve">” </w:t>
      </w:r>
    </w:p>
    <w:p w:rsidR="007510D2" w:rsidRDefault="00A0403B" w:rsidP="0088444A">
      <w:pPr>
        <w:pStyle w:val="ListParagraph"/>
        <w:numPr>
          <w:ilvl w:val="0"/>
          <w:numId w:val="4"/>
        </w:numPr>
        <w:autoSpaceDE w:val="0"/>
        <w:autoSpaceDN w:val="0"/>
        <w:adjustRightInd w:val="0"/>
        <w:spacing w:line="240" w:lineRule="auto"/>
      </w:pPr>
      <w:r w:rsidRPr="00A0403B">
        <w:t xml:space="preserve">LH-2 says </w:t>
      </w:r>
      <w:r w:rsidR="001F283A">
        <w:t>“</w:t>
      </w:r>
      <w:r w:rsidR="001F283A">
        <w:t xml:space="preserve">Tier 1 Key Watersheds: For </w:t>
      </w:r>
      <w:r w:rsidR="001F283A">
        <w:t xml:space="preserve">... </w:t>
      </w:r>
      <w:r w:rsidR="001F283A">
        <w:t>surface water development</w:t>
      </w:r>
      <w:r w:rsidR="001F283A">
        <w:t xml:space="preserve"> </w:t>
      </w:r>
      <w:r w:rsidR="001F283A">
        <w:t>proposals, require in-stream flows and habitat conditions that maintain or restore riparian</w:t>
      </w:r>
      <w:r w:rsidR="001F283A">
        <w:t xml:space="preserve"> </w:t>
      </w:r>
      <w:r w:rsidR="001F283A">
        <w:t>resources, favorable channel conditions, and fish passage. Coordinate this process with the</w:t>
      </w:r>
      <w:r w:rsidR="0088444A">
        <w:t xml:space="preserve"> </w:t>
      </w:r>
      <w:r w:rsidR="001F283A">
        <w:t>appropriate state agencies.</w:t>
      </w:r>
      <w:r w:rsidR="001F283A" w:rsidRPr="00A0403B">
        <w:t xml:space="preserve"> </w:t>
      </w:r>
      <w:r w:rsidR="001F283A">
        <w:t xml:space="preserve">... </w:t>
      </w:r>
      <w:r w:rsidRPr="00A0403B">
        <w:t>[</w:t>
      </w:r>
      <w:r w:rsidR="001F283A">
        <w:t>and</w:t>
      </w:r>
      <w:r w:rsidR="0088444A">
        <w:t>,</w:t>
      </w:r>
      <w:r w:rsidR="001F283A">
        <w:t xml:space="preserve"> </w:t>
      </w:r>
      <w:r w:rsidRPr="00A0403B">
        <w:t xml:space="preserve">for </w:t>
      </w:r>
      <w:r w:rsidR="001F283A">
        <w:t xml:space="preserve">other </w:t>
      </w:r>
      <w:r w:rsidRPr="00A0403B">
        <w:t xml:space="preserve">watersheds] </w:t>
      </w:r>
      <w:r w:rsidR="001F283A">
        <w:t xml:space="preserve">... </w:t>
      </w:r>
      <w:r w:rsidRPr="00A0403B">
        <w:t>give priority emphasis to in-stream flows and habitat conditions that maintain or restore</w:t>
      </w:r>
      <w:r w:rsidRPr="00A0403B">
        <w:t xml:space="preserve"> </w:t>
      </w:r>
      <w:r w:rsidRPr="00A0403B">
        <w:t>riparian resources, favorable channel conditions, and fish passage. Coordinate this process</w:t>
      </w:r>
      <w:r w:rsidRPr="00A0403B">
        <w:t xml:space="preserve"> </w:t>
      </w:r>
      <w:r w:rsidRPr="00A0403B">
        <w:t>with the appropriate state agencies.</w:t>
      </w:r>
      <w:r w:rsidRPr="00A0403B">
        <w:t>”</w:t>
      </w:r>
    </w:p>
    <w:p w:rsidR="00B75D82" w:rsidRDefault="00B75D82" w:rsidP="001F283A">
      <w:pPr>
        <w:autoSpaceDE w:val="0"/>
        <w:autoSpaceDN w:val="0"/>
        <w:adjustRightInd w:val="0"/>
        <w:spacing w:line="240" w:lineRule="auto"/>
      </w:pPr>
    </w:p>
    <w:p w:rsidR="00B75D82" w:rsidRDefault="00B75D82" w:rsidP="001F283A">
      <w:pPr>
        <w:autoSpaceDE w:val="0"/>
        <w:autoSpaceDN w:val="0"/>
        <w:adjustRightInd w:val="0"/>
        <w:spacing w:line="240" w:lineRule="auto"/>
      </w:pPr>
      <w:r>
        <w:t xml:space="preserve">The proposed action contemplates that the city will provide 0.5 </w:t>
      </w:r>
      <w:proofErr w:type="spellStart"/>
      <w:r>
        <w:t>cfs</w:t>
      </w:r>
      <w:proofErr w:type="spellEnd"/>
      <w:r>
        <w:t xml:space="preserve"> bypass flows, but this is </w:t>
      </w:r>
      <w:r w:rsidR="0088444A">
        <w:t xml:space="preserve">far </w:t>
      </w:r>
      <w:r>
        <w:t xml:space="preserve">less than current bypass flows and is </w:t>
      </w:r>
      <w:r w:rsidR="002F22C2">
        <w:t xml:space="preserve">clearly </w:t>
      </w:r>
      <w:r>
        <w:t xml:space="preserve">inadequate to meet legal requirements such as ACS </w:t>
      </w:r>
      <w:r>
        <w:lastRenderedPageBreak/>
        <w:t xml:space="preserve">compliance, ESA compliance, and ESA compliance. </w:t>
      </w:r>
      <w:r w:rsidR="002F22C2">
        <w:t>As explained below, t</w:t>
      </w:r>
      <w:r>
        <w:t>he NEPA analysis needs to consider a range of alternatives bypass flows to meet these legal requirements.</w:t>
      </w:r>
    </w:p>
    <w:p w:rsidR="00B75D82" w:rsidRDefault="00B75D82" w:rsidP="001F283A">
      <w:pPr>
        <w:autoSpaceDE w:val="0"/>
        <w:autoSpaceDN w:val="0"/>
        <w:adjustRightInd w:val="0"/>
        <w:spacing w:line="240" w:lineRule="auto"/>
      </w:pPr>
    </w:p>
    <w:p w:rsidR="00B75D82" w:rsidRDefault="00B75D82" w:rsidP="006745AF">
      <w:pPr>
        <w:pStyle w:val="Heading2"/>
        <w:ind w:left="0" w:firstLine="0"/>
        <w:rPr>
          <w:szCs w:val="24"/>
        </w:rPr>
      </w:pPr>
      <w:bookmarkStart w:id="1" w:name="_Toc530400827"/>
      <w:r>
        <w:t>NEPA Requires Analysis that Shows Whether Alternatives Comply</w:t>
      </w:r>
      <w:r>
        <w:t xml:space="preserve"> With Substantive Requirements</w:t>
      </w:r>
      <w:bookmarkEnd w:id="1"/>
    </w:p>
    <w:p w:rsidR="00B75D82" w:rsidRDefault="00B75D82" w:rsidP="00B75D82"/>
    <w:p w:rsidR="00B75D82" w:rsidRDefault="006745AF" w:rsidP="00B75D82">
      <w:r>
        <w:t>The PEA did not carefully analyze whether the proposed action and alternatives will meet legal requirements</w:t>
      </w:r>
      <w:r w:rsidR="003566F5">
        <w:t>, including ACS, ESA, state water law</w:t>
      </w:r>
      <w:r w:rsidR="002F22C2">
        <w:t xml:space="preserve"> regarding forfeiture</w:t>
      </w:r>
      <w:r w:rsidR="003566F5">
        <w:t>, and federal reserved water rights</w:t>
      </w:r>
      <w:r>
        <w:t xml:space="preserve">. </w:t>
      </w:r>
      <w:r w:rsidR="00B75D82">
        <w:t>All site-specific activities must comply with the governing forest plan. National Forest Management Act, 16 U.S.C. § 1604(</w:t>
      </w:r>
      <w:proofErr w:type="spellStart"/>
      <w:r w:rsidR="00B75D82">
        <w:t>i</w:t>
      </w:r>
      <w:proofErr w:type="spellEnd"/>
      <w:r w:rsidR="00B75D82">
        <w:t xml:space="preserve">) (governing FS management of national forest lands); Federal Land Policy &amp; Management Act, 43 U.S.C. § 1732(a) &amp; 43 C.F.R. § 1610.5-3(a) (governing BLM lands). </w:t>
      </w:r>
    </w:p>
    <w:p w:rsidR="00B75D82" w:rsidRDefault="00B75D82" w:rsidP="00B75D82"/>
    <w:p w:rsidR="00B75D82" w:rsidRDefault="00B75D82" w:rsidP="00B75D82">
      <w:pPr>
        <w:pStyle w:val="BodyText"/>
        <w:rPr>
          <w:szCs w:val="24"/>
        </w:rPr>
      </w:pPr>
      <w:r>
        <w:rPr>
          <w:szCs w:val="24"/>
        </w:rPr>
        <w:t xml:space="preserve">NEPA requires disclosure of information necessary to determine compliance with legal requirements such as the Endangered Species Act, Clean Water Act, National Forest Management Act, and applicable Forest Plan Standards &amp; Guidelines. See 40 CFR 15087.27(b)(10) and </w:t>
      </w:r>
      <w:r>
        <w:rPr>
          <w:szCs w:val="24"/>
          <w:u w:val="single"/>
        </w:rPr>
        <w:t>NW Indian Cemetery Protective Association v. Peterson,</w:t>
      </w:r>
      <w:r>
        <w:rPr>
          <w:szCs w:val="24"/>
        </w:rPr>
        <w:t xml:space="preserve"> 795 F2d 688 (9</w:t>
      </w:r>
      <w:r>
        <w:rPr>
          <w:szCs w:val="24"/>
          <w:vertAlign w:val="superscript"/>
        </w:rPr>
        <w:t>th</w:t>
      </w:r>
      <w:r>
        <w:rPr>
          <w:szCs w:val="24"/>
        </w:rPr>
        <w:t xml:space="preserve"> Circ. 1986). </w:t>
      </w:r>
      <w:r>
        <w:t xml:space="preserve">In this G-O Road case, the NEPA document described water quality changes resulting from a road project in terms of 7-day average changes, whereas the applicable WQ standard was defined by daily peak changes. The court found this to be a NEPA violation. </w:t>
      </w:r>
    </w:p>
    <w:p w:rsidR="00B75D82" w:rsidRDefault="00B75D82" w:rsidP="00B75D82">
      <w:pPr>
        <w:pStyle w:val="BodyText"/>
        <w:rPr>
          <w:szCs w:val="24"/>
        </w:rPr>
      </w:pPr>
    </w:p>
    <w:p w:rsidR="00B75D82" w:rsidRDefault="00B75D82" w:rsidP="00B75D82">
      <w:pPr>
        <w:pStyle w:val="BodyText"/>
        <w:rPr>
          <w:szCs w:val="24"/>
        </w:rPr>
      </w:pPr>
      <w:r>
        <w:rPr>
          <w:szCs w:val="24"/>
        </w:rPr>
        <w:t>The USDA Office of General Counsel agrees that project level analysis must document “Project Compliance With Other Laws.”</w:t>
      </w:r>
    </w:p>
    <w:p w:rsidR="00B75D82" w:rsidRDefault="00B75D82" w:rsidP="00B75D82">
      <w:pPr>
        <w:pStyle w:val="BodyText"/>
        <w:ind w:left="720"/>
        <w:rPr>
          <w:szCs w:val="24"/>
        </w:rPr>
      </w:pPr>
      <w:r>
        <w:rPr>
          <w:szCs w:val="24"/>
        </w:rPr>
        <w:t xml:space="preserve"> In addition to consistency with the LRMP each project must be in compliance with NEPA, CWA, CAA and other laws. Simply being consistent with the LRMP does not fulfill the site-specific requirements of Federal law. Project level analysis is to "determine findings for NFMA, to ensure compliance with NEPA, and to meet other appropriate laws and regulations." Forest Service Land and Resource Management Planning, FSM 1920 and Forest Service Handbook 1909.12, 5.31. 53 Fed. Reg. 26807, 26836 (July 15, 1988).</w:t>
      </w:r>
    </w:p>
    <w:p w:rsidR="00B75D82" w:rsidRDefault="00B75D82" w:rsidP="002F22C2">
      <w:pPr>
        <w:pStyle w:val="BodyText"/>
        <w:ind w:right="-360"/>
      </w:pPr>
      <w:r>
        <w:rPr>
          <w:szCs w:val="24"/>
        </w:rPr>
        <w:t xml:space="preserve">OGC, “Forest Plan and Project Level </w:t>
      </w:r>
      <w:proofErr w:type="spellStart"/>
      <w:r>
        <w:rPr>
          <w:szCs w:val="24"/>
        </w:rPr>
        <w:t>Decisionmaking</w:t>
      </w:r>
      <w:proofErr w:type="spellEnd"/>
      <w:r>
        <w:rPr>
          <w:szCs w:val="24"/>
        </w:rPr>
        <w:t xml:space="preserve">— Overview of Forest Planning and Project Level </w:t>
      </w:r>
      <w:proofErr w:type="spellStart"/>
      <w:r>
        <w:rPr>
          <w:szCs w:val="24"/>
        </w:rPr>
        <w:t>Decisionmaking</w:t>
      </w:r>
      <w:proofErr w:type="spellEnd"/>
      <w:r>
        <w:rPr>
          <w:szCs w:val="24"/>
        </w:rPr>
        <w:t xml:space="preserve">,” </w:t>
      </w:r>
      <w:hyperlink r:id="rId15" w:history="1">
        <w:r>
          <w:rPr>
            <w:rStyle w:val="Hyperlink"/>
            <w:szCs w:val="24"/>
          </w:rPr>
          <w:t>http://web.archive.org/web/20030111060230/http://www.fs.fed.us/forum/nepa/decisionm/p4.html</w:t>
        </w:r>
      </w:hyperlink>
    </w:p>
    <w:p w:rsidR="00B75D82" w:rsidRDefault="00B75D82" w:rsidP="002F22C2">
      <w:pPr>
        <w:pStyle w:val="BodyText"/>
        <w:ind w:right="-360"/>
        <w:rPr>
          <w:szCs w:val="24"/>
        </w:rPr>
      </w:pPr>
      <w:hyperlink r:id="rId16" w:history="1">
        <w:r>
          <w:rPr>
            <w:rStyle w:val="Hyperlink"/>
            <w:szCs w:val="24"/>
          </w:rPr>
          <w:t>http://web.archive.org/web/20060829000705/http://www.fs.fed.us/emc/nfma/includes/overview.pdf</w:t>
        </w:r>
      </w:hyperlink>
      <w:r>
        <w:rPr>
          <w:szCs w:val="24"/>
        </w:rPr>
        <w:t xml:space="preserve"> </w:t>
      </w:r>
    </w:p>
    <w:p w:rsidR="00B75D82" w:rsidRDefault="00B75D82" w:rsidP="00B75D82">
      <w:pPr>
        <w:pStyle w:val="BodyText"/>
      </w:pPr>
    </w:p>
    <w:p w:rsidR="00B75D82" w:rsidRDefault="00B75D82" w:rsidP="00B75D82">
      <w:r>
        <w:t>The CEQ NEPA regulations also require an analysis of legal requirements in order to determine whether an action may cause significant impacts on the environment. 40 CFR §1508.27(b)(10) (“</w:t>
      </w:r>
      <w:r>
        <w:rPr>
          <w:i/>
        </w:rPr>
        <w:t>Significantly</w:t>
      </w:r>
      <w:r>
        <w:t xml:space="preserve">, as used in NEPA, requires considerations of both context and intensity: … </w:t>
      </w:r>
      <w:r>
        <w:rPr>
          <w:u w:val="single"/>
        </w:rPr>
        <w:t>The following should be considered in evaluating intensity</w:t>
      </w:r>
      <w:r>
        <w:t xml:space="preserve">: … </w:t>
      </w:r>
      <w:r>
        <w:rPr>
          <w:u w:val="single"/>
        </w:rPr>
        <w:t>Whether the action threatens a violation of Federal, State, or local law or requirements imposed for the protection of the environment</w:t>
      </w:r>
      <w:r>
        <w:t xml:space="preserve">.” </w:t>
      </w:r>
      <w:r>
        <w:rPr>
          <w:i/>
        </w:rPr>
        <w:t>Emphasis added.</w:t>
      </w:r>
      <w:r>
        <w:t xml:space="preserve">) </w:t>
      </w:r>
      <w:r>
        <w:rPr>
          <w:u w:val="single"/>
        </w:rPr>
        <w:t xml:space="preserve">SAS v. Mosely </w:t>
      </w:r>
      <w:r>
        <w:t xml:space="preserve">798 </w:t>
      </w:r>
      <w:proofErr w:type="spellStart"/>
      <w:r>
        <w:t>F.Supp</w:t>
      </w:r>
      <w:proofErr w:type="spellEnd"/>
      <w:r>
        <w:t xml:space="preserve">. 1473 (W.D. Wash. May 1992) (“The FEIS has thus mentioned what appears to be a major consequence of the plan jeopardy to other species that live in the old growth forests </w:t>
      </w:r>
      <w:r>
        <w:rPr>
          <w:u w:val="single"/>
        </w:rPr>
        <w:t xml:space="preserve">without explaining the magnitude of the risk or </w:t>
      </w:r>
      <w:r>
        <w:rPr>
          <w:u w:val="single"/>
        </w:rPr>
        <w:lastRenderedPageBreak/>
        <w:t>attempting to justify a potential abandonment of conservation duties imposed by law. An EIS devoid of this information does not meet the requirements of NEPA</w:t>
      </w:r>
      <w:r>
        <w:t xml:space="preserve">.” </w:t>
      </w:r>
      <w:r>
        <w:rPr>
          <w:i/>
        </w:rPr>
        <w:t>Emphasis added.</w:t>
      </w:r>
      <w:r>
        <w:t>)</w:t>
      </w:r>
    </w:p>
    <w:p w:rsidR="00B75D82" w:rsidRDefault="00B75D82" w:rsidP="00B75D82"/>
    <w:p w:rsidR="00B75D82" w:rsidRDefault="00B75D82" w:rsidP="00B75D82">
      <w:r>
        <w:t>The Forest Service NEPA Handbook also requires that Decision Notices explain complete[</w:t>
      </w:r>
      <w:proofErr w:type="spellStart"/>
      <w:r>
        <w:t>ly</w:t>
      </w:r>
      <w:proofErr w:type="spellEnd"/>
      <w:r>
        <w:t>] and comprehensive[</w:t>
      </w:r>
      <w:proofErr w:type="spellStart"/>
      <w:r>
        <w:t>ly</w:t>
      </w:r>
      <w:proofErr w:type="spellEnd"/>
      <w:r>
        <w:t xml:space="preserve">]” how the NEPA decision complies with applicable legal requirements including the LRMP land allocations and Standards &amp; Guidelines. </w:t>
      </w:r>
    </w:p>
    <w:p w:rsidR="00B75D82" w:rsidRDefault="00B75D82" w:rsidP="00B75D82">
      <w:pPr>
        <w:ind w:left="720"/>
      </w:pPr>
      <w:r>
        <w:t xml:space="preserve">FSH 1909.15 Chapter 40, 43.21 - </w:t>
      </w:r>
      <w:r>
        <w:rPr>
          <w:b/>
        </w:rPr>
        <w:t>Format and Content</w:t>
      </w:r>
      <w:r>
        <w:t xml:space="preserve"> </w:t>
      </w:r>
    </w:p>
    <w:p w:rsidR="00B75D82" w:rsidRDefault="00B75D82" w:rsidP="00B75D82">
      <w:pPr>
        <w:ind w:left="720"/>
      </w:pPr>
      <w:r>
        <w:t xml:space="preserve">Decision notices document the conclusions drawn and the decision(s) made based on the analysis in the EA. Decision notices should conform to the following format and content. While sections may be combined or rearranged in the interest of clarity and brevity, the </w:t>
      </w:r>
      <w:r>
        <w:rPr>
          <w:u w:val="single"/>
        </w:rPr>
        <w:t>information needs to be complete and comprehensive</w:t>
      </w:r>
      <w:r>
        <w:t xml:space="preserve">. </w:t>
      </w:r>
    </w:p>
    <w:p w:rsidR="00B75D82" w:rsidRDefault="00B75D82" w:rsidP="00B75D82">
      <w:pPr>
        <w:ind w:left="720"/>
      </w:pPr>
      <w:r>
        <w:t>…</w:t>
      </w:r>
    </w:p>
    <w:p w:rsidR="00B75D82" w:rsidRDefault="00B75D82" w:rsidP="00B75D82">
      <w:pPr>
        <w:ind w:left="720"/>
      </w:pPr>
      <w:r>
        <w:t xml:space="preserve">6. Findings required by other laws and regulations. Include any findings required by any other laws which apply to the decision being made. Cite the project record or environmental analysis document that contains the information being used to support the findings. </w:t>
      </w:r>
      <w:r>
        <w:rPr>
          <w:u w:val="single"/>
        </w:rPr>
        <w:t>Describe how the decision is consistent with applicable laws and regulations. For example, findings regarding consistency with the forest plan (allocation, and standards and guidelines</w:t>
      </w:r>
      <w:r>
        <w:t>), suitability for timber production, and vegetation management criteria required by the National Forest Management Act and 36 CFR part 219. (emphasis added)</w:t>
      </w:r>
    </w:p>
    <w:p w:rsidR="00B75D82" w:rsidRDefault="00B75D82" w:rsidP="00B75D82">
      <w:hyperlink r:id="rId17" w:history="1">
        <w:r>
          <w:rPr>
            <w:rStyle w:val="Hyperlink"/>
          </w:rPr>
          <w:t>http://web.archive.org/web/20090118192937/http://www.fs.fed.us/im/directives/fsh/1909.15/1909.15_40.doc</w:t>
        </w:r>
      </w:hyperlink>
    </w:p>
    <w:p w:rsidR="00B75D82" w:rsidRDefault="00B75D82" w:rsidP="00B75D82"/>
    <w:p w:rsidR="00B75D82" w:rsidRDefault="00B75D82" w:rsidP="00B75D82">
      <w:pPr>
        <w:autoSpaceDE w:val="0"/>
      </w:pPr>
      <w:r>
        <w:t xml:space="preserve">See also, Judge King's October 2003 Decision in </w:t>
      </w:r>
      <w:r>
        <w:rPr>
          <w:u w:val="single"/>
        </w:rPr>
        <w:t>ONRC Action v. U.S. Forest Service</w:t>
      </w:r>
      <w:r>
        <w:t>, CV. 03-613-KI</w:t>
      </w:r>
      <w:r w:rsidRPr="00FF7EA7">
        <w:t xml:space="preserve"> (“</w:t>
      </w:r>
      <w:r w:rsidRPr="00FF7EA7">
        <w:rPr>
          <w:u w:val="single"/>
        </w:rPr>
        <w:t>The underlying EAs for the timber sales at issue did not properly frame the Forest Service’s survey and manage duties</w:t>
      </w:r>
      <w:r w:rsidRPr="00FF7EA7">
        <w:t xml:space="preserve">, they did not analyze a range of alternatives based upon these duties, they did not evaluate completed surveys, they did not demonstrate that the Forest Service had all of the proper information before it before allowing logging, and they did not provide for public influence over the decisions. For all of these reasons, </w:t>
      </w:r>
      <w:r w:rsidRPr="00FF7EA7">
        <w:rPr>
          <w:u w:val="single"/>
        </w:rPr>
        <w:t>the underlying EAs are legally deficient</w:t>
      </w:r>
      <w:r w:rsidRPr="00FF7EA7">
        <w:t>.</w:t>
      </w:r>
      <w:r w:rsidRPr="00FF7EA7">
        <w:rPr>
          <w:sz w:val="20"/>
        </w:rPr>
        <w:t xml:space="preserve">” </w:t>
      </w:r>
      <w:r w:rsidRPr="00FF7EA7">
        <w:rPr>
          <w:i/>
        </w:rPr>
        <w:t>Emphasis added.</w:t>
      </w:r>
      <w:r w:rsidRPr="00FF7EA7">
        <w:t xml:space="preserve">) </w:t>
      </w:r>
      <w:hyperlink r:id="rId18" w:history="1">
        <w:r>
          <w:rPr>
            <w:rStyle w:val="Hyperlink"/>
          </w:rPr>
          <w:t>http://web.archive.org/web/20041105214752/http://www.onrc.org/press/ONRCv.USFS.pdf</w:t>
        </w:r>
      </w:hyperlink>
      <w:r>
        <w:rPr>
          <w:rFonts w:ascii="Cambria Math" w:hAnsi="Cambria Math" w:cs="Cambria Math"/>
        </w:rPr>
        <w:t xml:space="preserve"> </w:t>
      </w:r>
    </w:p>
    <w:p w:rsidR="00B75D82" w:rsidRDefault="00B75D82" w:rsidP="00B75D82">
      <w:r>
        <w:t xml:space="preserve">And also Judge Hogan’s ruling in </w:t>
      </w:r>
      <w:r>
        <w:rPr>
          <w:u w:val="single"/>
        </w:rPr>
        <w:t xml:space="preserve">Klamath Siskiyou Wildlands Center v. </w:t>
      </w:r>
      <w:proofErr w:type="spellStart"/>
      <w:r>
        <w:rPr>
          <w:u w:val="single"/>
        </w:rPr>
        <w:t>Boody</w:t>
      </w:r>
      <w:proofErr w:type="spellEnd"/>
      <w:r>
        <w:t xml:space="preserve"> (D. Or. #03-3124-CO. May 18, 2004) where he held “plaintiffs have raised a serious question as to whether BLM violated NEPA in failing to disclose sufficient information in the EA to confirm compliance with … the RMP.” (Order at page 18).</w:t>
      </w:r>
    </w:p>
    <w:p w:rsidR="00B75D82" w:rsidRDefault="00B75D82" w:rsidP="001F283A">
      <w:pPr>
        <w:autoSpaceDE w:val="0"/>
        <w:autoSpaceDN w:val="0"/>
        <w:adjustRightInd w:val="0"/>
        <w:spacing w:line="240" w:lineRule="auto"/>
      </w:pPr>
    </w:p>
    <w:p w:rsidR="00B75D82" w:rsidRDefault="00B75D82" w:rsidP="00B75D82">
      <w:pPr>
        <w:pStyle w:val="Heading2"/>
      </w:pPr>
      <w:bookmarkStart w:id="2" w:name="_Toc530400818"/>
      <w:r>
        <w:t xml:space="preserve">Consider </w:t>
      </w:r>
      <w:r>
        <w:t>All Reasonable Alternatives.</w:t>
      </w:r>
      <w:bookmarkEnd w:id="2"/>
    </w:p>
    <w:p w:rsidR="006745AF" w:rsidRDefault="006745AF" w:rsidP="00B75D82"/>
    <w:p w:rsidR="006745AF" w:rsidRDefault="006745AF" w:rsidP="00B75D82">
      <w:r>
        <w:t xml:space="preserve">The PEA did not consider all reasonable alternatives, such as those with greater bypass flows necessary to meet legal requirements, including ACS, ESA, </w:t>
      </w:r>
      <w:r w:rsidR="003566F5">
        <w:t>state water law</w:t>
      </w:r>
      <w:r w:rsidR="002F22C2">
        <w:t xml:space="preserve"> </w:t>
      </w:r>
      <w:r w:rsidR="002F22C2">
        <w:t>regarding forfeiture</w:t>
      </w:r>
      <w:r w:rsidR="003566F5">
        <w:t xml:space="preserve">, </w:t>
      </w:r>
      <w:r>
        <w:t xml:space="preserve">and federal reserved water rights. </w:t>
      </w:r>
      <w:r w:rsidR="00F443C7">
        <w:t xml:space="preserve">Additional alternatives should look at the fact that the City has </w:t>
      </w:r>
      <w:r w:rsidR="00F443C7">
        <w:lastRenderedPageBreak/>
        <w:t>plans to increase storage of municipal water, so the FS should consider an alternative where the city fills their water storage during wet months and leaves more water instream during dry months.</w:t>
      </w:r>
    </w:p>
    <w:p w:rsidR="003566F5" w:rsidRDefault="003566F5" w:rsidP="00B75D82"/>
    <w:p w:rsidR="00B75D82" w:rsidRDefault="00B75D82" w:rsidP="00B75D82">
      <w:r>
        <w:t xml:space="preserve">NEPA mandates that an agency “shall to the fullest extent possible: use the NEPA process to identify and assess the reasonable alternatives to proposed actions that will avoid or minimize adverse effects of these action upon the quality of the human environment.” 40 C.F.R. § 1500.2(e). NEPA also requires the USFS to “study, develop, and describe appropriate alternatives to the recommended courses of action in any proposal which involves unresolved conflicts concerning alternative uses of available resources as provided by section 102(2)(E) of 40 C.F.R. § 1501.2 (c).” </w:t>
      </w:r>
      <w:r>
        <w:rPr>
          <w:i/>
          <w:iCs/>
        </w:rPr>
        <w:t>Id</w:t>
      </w:r>
      <w:r>
        <w:t xml:space="preserve">. </w:t>
      </w:r>
    </w:p>
    <w:p w:rsidR="00B75D82" w:rsidRDefault="00B75D82" w:rsidP="00B75D82">
      <w:r>
        <w:t> </w:t>
      </w:r>
    </w:p>
    <w:p w:rsidR="00B75D82" w:rsidRDefault="00B75D82" w:rsidP="00B75D82">
      <w:r>
        <w:t>Environmental analysis documents must “[r]</w:t>
      </w:r>
      <w:proofErr w:type="spellStart"/>
      <w:r>
        <w:t>igorously</w:t>
      </w:r>
      <w:proofErr w:type="spellEnd"/>
      <w:r>
        <w:t xml:space="preserve"> explore and objectively evaluate all reasonable alternatives” to the project. 40 C.F.R. § 1502.14(a). The Council on Environmental Quality (CEQ), which promulgated the regulations implementing NEPA, characterizes the discussion of alternatives as “the heart of the environmental impact statement.” 40 C.F.R. § 1502.14. A </w:t>
      </w:r>
      <w:proofErr w:type="spellStart"/>
      <w:r>
        <w:t>decisionmaker</w:t>
      </w:r>
      <w:proofErr w:type="spellEnd"/>
      <w:r>
        <w:t xml:space="preserve"> must explore alternatives in sufficient enough detail to “sharply </w:t>
      </w:r>
      <w:proofErr w:type="spellStart"/>
      <w:r>
        <w:t>defin</w:t>
      </w:r>
      <w:proofErr w:type="spellEnd"/>
      <w:r>
        <w:t xml:space="preserve">[e] the issues and </w:t>
      </w:r>
      <w:proofErr w:type="spellStart"/>
      <w:r>
        <w:t>provid</w:t>
      </w:r>
      <w:proofErr w:type="spellEnd"/>
      <w:r>
        <w:t xml:space="preserve">[e] a clear basis for choice among options by the </w:t>
      </w:r>
      <w:proofErr w:type="spellStart"/>
      <w:r>
        <w:t>decisionmaker</w:t>
      </w:r>
      <w:proofErr w:type="spellEnd"/>
      <w:r>
        <w:t xml:space="preserve"> and the public.” </w:t>
      </w:r>
      <w:r>
        <w:rPr>
          <w:i/>
          <w:iCs/>
        </w:rPr>
        <w:t>Id</w:t>
      </w:r>
      <w:r>
        <w:t xml:space="preserve">. § 1502.14. All reasonable alternatives must receive a “rigorous exploration and objective evaluation... , particularly those that might enhance environmental quality or avoid some or all of the adverse environmental effects.” </w:t>
      </w:r>
      <w:r>
        <w:rPr>
          <w:i/>
          <w:iCs/>
        </w:rPr>
        <w:t>Id</w:t>
      </w:r>
      <w:r>
        <w:t xml:space="preserve">. § 1500.8(a)(4). The analysis of the alternatives must be “sufficiently detailed to reveal the agency’s comparative evaluation of the environmental benefits, costs and risks of the proposed action and each reasonable alternative.” </w:t>
      </w:r>
      <w:r>
        <w:rPr>
          <w:i/>
          <w:iCs/>
        </w:rPr>
        <w:t>Id</w:t>
      </w:r>
      <w:r>
        <w:t>.</w:t>
      </w:r>
    </w:p>
    <w:p w:rsidR="00B75D82" w:rsidRDefault="00B75D82" w:rsidP="00B75D82"/>
    <w:p w:rsidR="00B75D82" w:rsidRDefault="00B75D82" w:rsidP="00B75D82">
      <w:r>
        <w:t xml:space="preserve">If the NEPA document considers only a restricted range of alternatives this would violate the very purpose of NEPA’s alternative analysis requirement, which is to foster informed decision-making and full public involvement. 42 U.S.C. §§ 4331, 4332(2)(E); 40 C.F.R. § 1508.9(b). </w:t>
      </w:r>
      <w:r>
        <w:rPr>
          <w:i/>
          <w:iCs/>
        </w:rPr>
        <w:t xml:space="preserve">See also Robertson v. </w:t>
      </w:r>
      <w:proofErr w:type="spellStart"/>
      <w:r>
        <w:rPr>
          <w:i/>
          <w:iCs/>
        </w:rPr>
        <w:t>Methow</w:t>
      </w:r>
      <w:proofErr w:type="spellEnd"/>
      <w:r>
        <w:rPr>
          <w:i/>
          <w:iCs/>
        </w:rPr>
        <w:t xml:space="preserve"> Valley Citizen’s Council</w:t>
      </w:r>
      <w:r>
        <w:t xml:space="preserve">, 490 U.S. 332, 349 (1989). The Ninth Circuit stated in </w:t>
      </w:r>
      <w:r>
        <w:rPr>
          <w:i/>
          <w:iCs/>
        </w:rPr>
        <w:t>California v. Block</w:t>
      </w:r>
      <w:r>
        <w:t xml:space="preserve"> that “[a]s with the standard employed to evaluate the detail that NEPA requires in discussing a decision’s environmental consequences, the touchstone for our inquiry is whether an EIS’s selection and discussion of alternatives fosters informed decision-making and informed public participation.” </w:t>
      </w:r>
      <w:r>
        <w:rPr>
          <w:i/>
          <w:iCs/>
        </w:rPr>
        <w:t>California v. Block</w:t>
      </w:r>
      <w:r>
        <w:t>, 690 F.2d 753, 767 (9</w:t>
      </w:r>
      <w:r>
        <w:rPr>
          <w:vertAlign w:val="superscript"/>
        </w:rPr>
        <w:t>th</w:t>
      </w:r>
      <w:r>
        <w:t xml:space="preserve"> Cir. 1982). </w:t>
      </w:r>
    </w:p>
    <w:p w:rsidR="00B75D82" w:rsidRDefault="00B75D82" w:rsidP="00B75D82"/>
    <w:p w:rsidR="00B75D82" w:rsidRDefault="00B75D82" w:rsidP="00B75D82">
      <w:r>
        <w:t xml:space="preserve">The purpose of the multiple alternative analysis requirement is to insist that no major federal project be undertaken without intense consideration of other more ecologically sound courses of action, including shelving the entire project, or of accomplishing the same result by entirely different means. </w:t>
      </w:r>
      <w:r>
        <w:rPr>
          <w:i/>
          <w:iCs/>
        </w:rPr>
        <w:t>Environmental Defense Fund v. Corps of Engineers</w:t>
      </w:r>
      <w:r>
        <w:t>, 492 F.2d 1123, 1135 (5</w:t>
      </w:r>
      <w:r>
        <w:rPr>
          <w:vertAlign w:val="superscript"/>
        </w:rPr>
        <w:t>th</w:t>
      </w:r>
      <w:r>
        <w:t xml:space="preserve"> Cir. 1974); </w:t>
      </w:r>
      <w:proofErr w:type="spellStart"/>
      <w:r>
        <w:rPr>
          <w:i/>
          <w:iCs/>
        </w:rPr>
        <w:t>Methow</w:t>
      </w:r>
      <w:proofErr w:type="spellEnd"/>
      <w:r>
        <w:rPr>
          <w:i/>
          <w:iCs/>
        </w:rPr>
        <w:t xml:space="preserve"> Valley Citizens Council v. Regional Forester</w:t>
      </w:r>
      <w:r>
        <w:t>, 833 F.2d 810 (9</w:t>
      </w:r>
      <w:r>
        <w:rPr>
          <w:vertAlign w:val="superscript"/>
        </w:rPr>
        <w:t>th</w:t>
      </w:r>
      <w:r>
        <w:t xml:space="preserve"> Cir. 1987), </w:t>
      </w:r>
      <w:proofErr w:type="spellStart"/>
      <w:r>
        <w:rPr>
          <w:i/>
          <w:iCs/>
        </w:rPr>
        <w:lastRenderedPageBreak/>
        <w:t>rev’d</w:t>
      </w:r>
      <w:proofErr w:type="spellEnd"/>
      <w:r>
        <w:rPr>
          <w:i/>
          <w:iCs/>
        </w:rPr>
        <w:t xml:space="preserve"> on other grounds</w:t>
      </w:r>
      <w:r>
        <w:t xml:space="preserve">, 490 U.S. 332 (1989) (agency must consider alternative sites for a project). The Ninth Circuit has concluded that “the existence of a viable but unexamined alternative renders an environmental impact statement inadequate.” </w:t>
      </w:r>
      <w:r>
        <w:rPr>
          <w:i/>
          <w:iCs/>
        </w:rPr>
        <w:t>Alaska Wilderness Recreation &amp; Tourism v. Morrison</w:t>
      </w:r>
      <w:r>
        <w:t>, 67 F.3d 723, 729 (9</w:t>
      </w:r>
      <w:r>
        <w:rPr>
          <w:vertAlign w:val="superscript"/>
        </w:rPr>
        <w:t>th</w:t>
      </w:r>
      <w:r>
        <w:t xml:space="preserve"> Cir.1995). </w:t>
      </w:r>
    </w:p>
    <w:p w:rsidR="00B75D82" w:rsidRDefault="00B75D82" w:rsidP="00B75D82">
      <w:r>
        <w:t> </w:t>
      </w:r>
    </w:p>
    <w:p w:rsidR="00B75D82" w:rsidRDefault="00B75D82" w:rsidP="00B75D82">
      <w:r>
        <w:t xml:space="preserve">Other courts have stated that in order to comply with NEPA, “the discussion of alternatives ‘must go beyond mere assertions’ and provide sufficient data and reasoning to enable a reader to evaluate the analysis and conclusions and to comment on the EIS.” </w:t>
      </w:r>
      <w:r>
        <w:rPr>
          <w:i/>
          <w:iCs/>
        </w:rPr>
        <w:t xml:space="preserve">Citizens Against Toxic Sprays v. </w:t>
      </w:r>
      <w:proofErr w:type="spellStart"/>
      <w:r>
        <w:rPr>
          <w:i/>
          <w:iCs/>
        </w:rPr>
        <w:t>Bergland</w:t>
      </w:r>
      <w:proofErr w:type="spellEnd"/>
      <w:r>
        <w:t xml:space="preserve">, 428 F. Supp. 908, 933 (D. Or. 1977). A detailed and careful analysis of the relative merits and demerits of the proposed action and possible alternatives is of such importance in the NEPA scheme that it has been described as the “linchpin” of the environmental analysis. For this reason, the discussion of alternatives must be undertaken in good faith; it is not to be employed to justify a decision already reached. </w:t>
      </w:r>
      <w:r>
        <w:rPr>
          <w:i/>
          <w:iCs/>
        </w:rPr>
        <w:t>Id</w:t>
      </w:r>
      <w:r>
        <w:t>.</w:t>
      </w:r>
    </w:p>
    <w:p w:rsidR="00B75D82" w:rsidRDefault="00B75D82" w:rsidP="001F283A">
      <w:pPr>
        <w:autoSpaceDE w:val="0"/>
        <w:autoSpaceDN w:val="0"/>
        <w:adjustRightInd w:val="0"/>
        <w:spacing w:line="240" w:lineRule="auto"/>
      </w:pPr>
    </w:p>
    <w:p w:rsidR="00B75D82" w:rsidRDefault="00B75D82" w:rsidP="001F283A">
      <w:pPr>
        <w:autoSpaceDE w:val="0"/>
        <w:autoSpaceDN w:val="0"/>
        <w:adjustRightInd w:val="0"/>
        <w:spacing w:line="240" w:lineRule="auto"/>
      </w:pPr>
    </w:p>
    <w:p w:rsidR="00B75D82" w:rsidRDefault="00B75D82" w:rsidP="001F283A">
      <w:pPr>
        <w:autoSpaceDE w:val="0"/>
        <w:autoSpaceDN w:val="0"/>
        <w:adjustRightInd w:val="0"/>
        <w:spacing w:line="240" w:lineRule="auto"/>
      </w:pPr>
    </w:p>
    <w:p w:rsidR="00666A20" w:rsidRPr="00A31583" w:rsidRDefault="00203259" w:rsidP="00A31583">
      <w:r>
        <w:t>Each substantive issue discussed in these comments should be (</w:t>
      </w:r>
      <w:proofErr w:type="spellStart"/>
      <w:r>
        <w:t>i</w:t>
      </w:r>
      <w:proofErr w:type="spellEnd"/>
      <w:r>
        <w:t>) incorporated into the purpose and need for the project, (ii) incorporated into a NEPA alternative, (iii) carefully analyzed as part of the effects analysis, and (iv) considered for mitigation.</w:t>
      </w:r>
    </w:p>
    <w:p w:rsidR="00666A20" w:rsidRPr="00A31583" w:rsidRDefault="00666A20" w:rsidP="00A31583"/>
    <w:p w:rsidR="00666A20" w:rsidRPr="00A31583" w:rsidRDefault="00666A20" w:rsidP="00A31583"/>
    <w:p w:rsidR="00666A20" w:rsidRPr="00A31583" w:rsidRDefault="00666A20" w:rsidP="00A31583"/>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19"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8D61B3" w:rsidP="00A31583">
      <w:hyperlink r:id="rId21" w:history="1">
        <w:r w:rsidR="00690066" w:rsidRPr="00A31583">
          <w:rPr>
            <w:rStyle w:val="Hyperlink"/>
          </w:rPr>
          <w:t>dh@oregonwild.org</w:t>
        </w:r>
      </w:hyperlink>
      <w:r w:rsidR="00690066" w:rsidRPr="00A31583">
        <w:t xml:space="preserve"> </w:t>
      </w:r>
    </w:p>
    <w:sectPr w:rsidR="00690066" w:rsidRPr="00A31583" w:rsidSect="0049572E">
      <w:headerReference w:type="even" r:id="rId22"/>
      <w:headerReference w:type="default" r:id="rId23"/>
      <w:footerReference w:type="even" r:id="rId24"/>
      <w:footerReference w:type="default" r:id="rId25"/>
      <w:headerReference w:type="first" r:id="rId26"/>
      <w:footerReference w:type="first" r:id="rId27"/>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1B3" w:rsidRDefault="008D61B3" w:rsidP="00A31583">
      <w:r>
        <w:separator/>
      </w:r>
    </w:p>
  </w:endnote>
  <w:endnote w:type="continuationSeparator" w:id="0">
    <w:p w:rsidR="008D61B3" w:rsidRDefault="008D61B3"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20002A87" w:usb1="00000000" w:usb2="00000000"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r>
      <w:rPr>
        <w:noProof/>
      </w:rPr>
      <mc:AlternateContent>
        <mc:Choice Requires="wps">
          <w:drawing>
            <wp:anchor distT="0" distB="0" distL="114300" distR="114300" simplePos="0" relativeHeight="251660288" behindDoc="0" locked="0" layoutInCell="1" allowOverlap="1" wp14:anchorId="7FF7A243" wp14:editId="5A18EB22">
              <wp:simplePos x="0" y="0"/>
              <wp:positionH relativeFrom="column">
                <wp:posOffset>-99060</wp:posOffset>
              </wp:positionH>
              <wp:positionV relativeFrom="paragraph">
                <wp:posOffset>-179705</wp:posOffset>
              </wp:positionV>
              <wp:extent cx="1219200" cy="579120"/>
              <wp:effectExtent l="57150" t="57150" r="114300" b="106680"/>
              <wp:wrapNone/>
              <wp:docPr id="3" name="Rectangle 3"/>
              <wp:cNvGraphicFramePr/>
              <a:graphic xmlns:a="http://schemas.openxmlformats.org/drawingml/2006/main">
                <a:graphicData uri="http://schemas.microsoft.com/office/word/2010/wordprocessingShape">
                  <wps:wsp>
                    <wps:cNvSpPr/>
                    <wps:spPr>
                      <a:xfrm>
                        <a:off x="0" y="0"/>
                        <a:ext cx="1219200" cy="579120"/>
                      </a:xfrm>
                      <a:prstGeom prst="rect">
                        <a:avLst/>
                      </a:prstGeom>
                      <a:noFill/>
                      <a:ln w="28575">
                        <a:solidFill>
                          <a:schemeClr val="accent2">
                            <a:lumMod val="60000"/>
                            <a:lumOff val="40000"/>
                          </a:schemeClr>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7.8pt;margin-top:-14.15pt;width:96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" filled="f" strokecolor="#d99594 [1941]" strokeweight="2.25pt">
              <v:shadow on="t" color="black" opacity="26214f" origin="-.5,-.5" offset=".74836mm,.74836mm"/>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1B3" w:rsidRDefault="008D61B3" w:rsidP="00A31583">
      <w:r>
        <w:separator/>
      </w:r>
    </w:p>
  </w:footnote>
  <w:footnote w:type="continuationSeparator" w:id="0">
    <w:p w:rsidR="008D61B3" w:rsidRDefault="008D61B3"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2543FDED" wp14:editId="3C71248C">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2864E5E2"/>
    <w:name w:val="WW8Num3"/>
    <w:lvl w:ilvl="0">
      <w:start w:val="1"/>
      <w:numFmt w:val="bullet"/>
      <w:lvlText w:val="o"/>
      <w:lvlJc w:val="left"/>
      <w:pPr>
        <w:tabs>
          <w:tab w:val="num" w:pos="1080"/>
        </w:tabs>
        <w:ind w:left="1080" w:hanging="360"/>
      </w:pPr>
      <w:rPr>
        <w:rFonts w:ascii="Courier New" w:hAnsi="Courier New" w:cs="Courier New" w:hint="default"/>
        <w:szCs w:val="24"/>
      </w:rPr>
    </w:lvl>
    <w:lvl w:ilvl="1">
      <w:start w:val="1"/>
      <w:numFmt w:val="bullet"/>
      <w:lvlText w:val="o"/>
      <w:lvlJc w:val="left"/>
      <w:pPr>
        <w:tabs>
          <w:tab w:val="num" w:pos="1800"/>
        </w:tabs>
        <w:ind w:left="1800" w:hanging="360"/>
      </w:pPr>
      <w:rPr>
        <w:rFonts w:ascii="BookAntiqua" w:hAnsi="BookAntiqua"/>
      </w:rPr>
    </w:lvl>
    <w:lvl w:ilvl="2">
      <w:start w:val="1"/>
      <w:numFmt w:val="bullet"/>
      <w:lvlText w:val=""/>
      <w:lvlJc w:val="left"/>
      <w:pPr>
        <w:tabs>
          <w:tab w:val="num" w:pos="2520"/>
        </w:tabs>
        <w:ind w:left="2520" w:hanging="360"/>
      </w:pPr>
      <w:rPr>
        <w:rFonts w:ascii="Georgia" w:hAnsi="Georgia"/>
      </w:rPr>
    </w:lvl>
    <w:lvl w:ilvl="3">
      <w:start w:val="1"/>
      <w:numFmt w:val="bullet"/>
      <w:lvlText w:val=""/>
      <w:lvlJc w:val="left"/>
      <w:pPr>
        <w:tabs>
          <w:tab w:val="num" w:pos="3240"/>
        </w:tabs>
        <w:ind w:left="3240" w:hanging="360"/>
      </w:pPr>
      <w:rPr>
        <w:rFonts w:ascii="Georgia" w:hAnsi="Georgia"/>
      </w:rPr>
    </w:lvl>
    <w:lvl w:ilvl="4">
      <w:start w:val="1"/>
      <w:numFmt w:val="bullet"/>
      <w:lvlText w:val=""/>
      <w:lvlJc w:val="left"/>
      <w:pPr>
        <w:tabs>
          <w:tab w:val="num" w:pos="3960"/>
        </w:tabs>
        <w:ind w:left="3960" w:hanging="360"/>
      </w:pPr>
      <w:rPr>
        <w:rFonts w:ascii="Georgia" w:hAnsi="Georgia"/>
      </w:rPr>
    </w:lvl>
    <w:lvl w:ilvl="5">
      <w:start w:val="1"/>
      <w:numFmt w:val="bullet"/>
      <w:lvlText w:val=""/>
      <w:lvlJc w:val="left"/>
      <w:pPr>
        <w:tabs>
          <w:tab w:val="num" w:pos="4680"/>
        </w:tabs>
        <w:ind w:left="4680" w:hanging="360"/>
      </w:pPr>
      <w:rPr>
        <w:rFonts w:ascii="Georgia" w:hAnsi="Georgia"/>
      </w:rPr>
    </w:lvl>
    <w:lvl w:ilvl="6">
      <w:start w:val="1"/>
      <w:numFmt w:val="bullet"/>
      <w:lvlText w:val=""/>
      <w:lvlJc w:val="left"/>
      <w:pPr>
        <w:tabs>
          <w:tab w:val="num" w:pos="5400"/>
        </w:tabs>
        <w:ind w:left="5400" w:hanging="360"/>
      </w:pPr>
      <w:rPr>
        <w:rFonts w:ascii="Georgia" w:hAnsi="Georgia"/>
      </w:rPr>
    </w:lvl>
    <w:lvl w:ilvl="7">
      <w:start w:val="1"/>
      <w:numFmt w:val="bullet"/>
      <w:lvlText w:val=""/>
      <w:lvlJc w:val="left"/>
      <w:pPr>
        <w:tabs>
          <w:tab w:val="num" w:pos="6120"/>
        </w:tabs>
        <w:ind w:left="6120" w:hanging="360"/>
      </w:pPr>
      <w:rPr>
        <w:rFonts w:ascii="Georgia" w:hAnsi="Georgia"/>
      </w:rPr>
    </w:lvl>
    <w:lvl w:ilvl="8">
      <w:start w:val="1"/>
      <w:numFmt w:val="bullet"/>
      <w:lvlText w:val=""/>
      <w:lvlJc w:val="left"/>
      <w:pPr>
        <w:tabs>
          <w:tab w:val="num" w:pos="6840"/>
        </w:tabs>
        <w:ind w:left="6840" w:hanging="360"/>
      </w:pPr>
      <w:rPr>
        <w:rFonts w:ascii="Georgia" w:hAnsi="Georgia"/>
      </w:rPr>
    </w:lvl>
  </w:abstractNum>
  <w:abstractNum w:abstractNumId="2">
    <w:nsid w:val="239F4DBE"/>
    <w:multiLevelType w:val="hybridMultilevel"/>
    <w:tmpl w:val="8D80E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1F283A"/>
    <w:rsid w:val="00203259"/>
    <w:rsid w:val="00252707"/>
    <w:rsid w:val="002F22C2"/>
    <w:rsid w:val="003566F5"/>
    <w:rsid w:val="003C4DF5"/>
    <w:rsid w:val="0048281C"/>
    <w:rsid w:val="0049572E"/>
    <w:rsid w:val="004A515D"/>
    <w:rsid w:val="004D118D"/>
    <w:rsid w:val="00564A5F"/>
    <w:rsid w:val="005F504E"/>
    <w:rsid w:val="005F5F4A"/>
    <w:rsid w:val="00625BDA"/>
    <w:rsid w:val="00666A20"/>
    <w:rsid w:val="006672C1"/>
    <w:rsid w:val="006745AF"/>
    <w:rsid w:val="00690066"/>
    <w:rsid w:val="00712BE5"/>
    <w:rsid w:val="007510D2"/>
    <w:rsid w:val="0088444A"/>
    <w:rsid w:val="0089193D"/>
    <w:rsid w:val="008D61B3"/>
    <w:rsid w:val="009B64DB"/>
    <w:rsid w:val="00A0403B"/>
    <w:rsid w:val="00A31583"/>
    <w:rsid w:val="00A565C2"/>
    <w:rsid w:val="00A62D9E"/>
    <w:rsid w:val="00AB302C"/>
    <w:rsid w:val="00B13D79"/>
    <w:rsid w:val="00B247CF"/>
    <w:rsid w:val="00B75D82"/>
    <w:rsid w:val="00BA14F0"/>
    <w:rsid w:val="00BC1EF1"/>
    <w:rsid w:val="00BD7DDA"/>
    <w:rsid w:val="00C4467F"/>
    <w:rsid w:val="00D21F21"/>
    <w:rsid w:val="00D3167F"/>
    <w:rsid w:val="00D90D1C"/>
    <w:rsid w:val="00DB018E"/>
    <w:rsid w:val="00EB5DCF"/>
    <w:rsid w:val="00EC6343"/>
    <w:rsid w:val="00EE654C"/>
    <w:rsid w:val="00F419B9"/>
    <w:rsid w:val="00F443C7"/>
    <w:rsid w:val="00F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B75D82"/>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B75D82"/>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B75D82"/>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6">
    <w:name w:val="heading 6"/>
    <w:basedOn w:val="Normal"/>
    <w:next w:val="Normal"/>
    <w:link w:val="Heading6Char"/>
    <w:qFormat/>
    <w:rsid w:val="00B75D82"/>
    <w:pPr>
      <w:keepNext/>
      <w:numPr>
        <w:ilvl w:val="5"/>
        <w:numId w:val="2"/>
      </w:numPr>
      <w:suppressAutoHyphens/>
      <w:spacing w:line="240" w:lineRule="auto"/>
      <w:outlineLvl w:val="5"/>
    </w:pPr>
    <w:rPr>
      <w:rFonts w:ascii="New York" w:eastAsia="-moz-fixed" w:hAnsi="New York" w:cs="New York"/>
      <w:b/>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B75D82"/>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B75D82"/>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B75D82"/>
    <w:rPr>
      <w:rFonts w:ascii="-moz-fixed" w:eastAsia="-moz-fixed" w:hAnsi="-moz-fixed" w:cs="-moz-fixed"/>
      <w:b/>
      <w:bCs/>
      <w:sz w:val="27"/>
      <w:szCs w:val="27"/>
      <w:lang w:eastAsia="ar-SA"/>
    </w:rPr>
  </w:style>
  <w:style w:type="character" w:customStyle="1" w:styleId="Heading6Char">
    <w:name w:val="Heading 6 Char"/>
    <w:basedOn w:val="DefaultParagraphFont"/>
    <w:link w:val="Heading6"/>
    <w:rsid w:val="00B75D82"/>
    <w:rPr>
      <w:rFonts w:ascii="New York" w:eastAsia="-moz-fixed" w:hAnsi="New York" w:cs="New York"/>
      <w:b/>
      <w:sz w:val="28"/>
      <w:szCs w:val="28"/>
      <w:lang w:eastAsia="ar-SA"/>
    </w:rPr>
  </w:style>
  <w:style w:type="paragraph" w:styleId="BodyText">
    <w:name w:val="Body Text"/>
    <w:basedOn w:val="Normal"/>
    <w:link w:val="BodyTextChar"/>
    <w:rsid w:val="00B75D82"/>
    <w:pPr>
      <w:suppressAutoHyphens/>
      <w:spacing w:line="240" w:lineRule="auto"/>
    </w:pPr>
    <w:rPr>
      <w:rFonts w:ascii="-moz-fixed" w:eastAsia="-moz-fixed" w:hAnsi="-moz-fixed" w:cs="-moz-fixed"/>
      <w:szCs w:val="20"/>
      <w:lang w:eastAsia="ar-SA"/>
    </w:rPr>
  </w:style>
  <w:style w:type="character" w:customStyle="1" w:styleId="BodyTextChar">
    <w:name w:val="Body Text Char"/>
    <w:basedOn w:val="DefaultParagraphFont"/>
    <w:link w:val="BodyText"/>
    <w:rsid w:val="00B75D82"/>
    <w:rPr>
      <w:rFonts w:ascii="-moz-fixed" w:eastAsia="-moz-fixed" w:hAnsi="-moz-fixed" w:cs="-moz-fixed"/>
      <w:sz w:val="24"/>
      <w:szCs w:val="20"/>
      <w:lang w:eastAsia="ar-SA"/>
    </w:rPr>
  </w:style>
  <w:style w:type="paragraph" w:styleId="BodyTextIndent2">
    <w:name w:val="Body Text Indent 2"/>
    <w:basedOn w:val="Normal"/>
    <w:link w:val="BodyTextIndent2Char"/>
    <w:uiPriority w:val="99"/>
    <w:semiHidden/>
    <w:unhideWhenUsed/>
    <w:rsid w:val="00B75D82"/>
    <w:pPr>
      <w:spacing w:after="120" w:line="480" w:lineRule="auto"/>
      <w:ind w:left="360"/>
    </w:pPr>
  </w:style>
  <w:style w:type="character" w:customStyle="1" w:styleId="BodyTextIndent2Char">
    <w:name w:val="Body Text Indent 2 Char"/>
    <w:basedOn w:val="DefaultParagraphFont"/>
    <w:link w:val="BodyTextIndent2"/>
    <w:uiPriority w:val="99"/>
    <w:semiHidden/>
    <w:rsid w:val="00B75D82"/>
    <w:rPr>
      <w:rFonts w:ascii="Times New Roman" w:hAnsi="Times New Roman" w:cs="Times New Roman"/>
      <w:sz w:val="24"/>
      <w:szCs w:val="24"/>
    </w:rPr>
  </w:style>
  <w:style w:type="paragraph" w:styleId="ListParagraph">
    <w:name w:val="List Paragraph"/>
    <w:basedOn w:val="Normal"/>
    <w:uiPriority w:val="34"/>
    <w:qFormat/>
    <w:rsid w:val="008844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B75D82"/>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B75D82"/>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B75D82"/>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6">
    <w:name w:val="heading 6"/>
    <w:basedOn w:val="Normal"/>
    <w:next w:val="Normal"/>
    <w:link w:val="Heading6Char"/>
    <w:qFormat/>
    <w:rsid w:val="00B75D82"/>
    <w:pPr>
      <w:keepNext/>
      <w:numPr>
        <w:ilvl w:val="5"/>
        <w:numId w:val="2"/>
      </w:numPr>
      <w:suppressAutoHyphens/>
      <w:spacing w:line="240" w:lineRule="auto"/>
      <w:outlineLvl w:val="5"/>
    </w:pPr>
    <w:rPr>
      <w:rFonts w:ascii="New York" w:eastAsia="-moz-fixed" w:hAnsi="New York" w:cs="New York"/>
      <w:b/>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B75D82"/>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B75D82"/>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B75D82"/>
    <w:rPr>
      <w:rFonts w:ascii="-moz-fixed" w:eastAsia="-moz-fixed" w:hAnsi="-moz-fixed" w:cs="-moz-fixed"/>
      <w:b/>
      <w:bCs/>
      <w:sz w:val="27"/>
      <w:szCs w:val="27"/>
      <w:lang w:eastAsia="ar-SA"/>
    </w:rPr>
  </w:style>
  <w:style w:type="character" w:customStyle="1" w:styleId="Heading6Char">
    <w:name w:val="Heading 6 Char"/>
    <w:basedOn w:val="DefaultParagraphFont"/>
    <w:link w:val="Heading6"/>
    <w:rsid w:val="00B75D82"/>
    <w:rPr>
      <w:rFonts w:ascii="New York" w:eastAsia="-moz-fixed" w:hAnsi="New York" w:cs="New York"/>
      <w:b/>
      <w:sz w:val="28"/>
      <w:szCs w:val="28"/>
      <w:lang w:eastAsia="ar-SA"/>
    </w:rPr>
  </w:style>
  <w:style w:type="paragraph" w:styleId="BodyText">
    <w:name w:val="Body Text"/>
    <w:basedOn w:val="Normal"/>
    <w:link w:val="BodyTextChar"/>
    <w:rsid w:val="00B75D82"/>
    <w:pPr>
      <w:suppressAutoHyphens/>
      <w:spacing w:line="240" w:lineRule="auto"/>
    </w:pPr>
    <w:rPr>
      <w:rFonts w:ascii="-moz-fixed" w:eastAsia="-moz-fixed" w:hAnsi="-moz-fixed" w:cs="-moz-fixed"/>
      <w:szCs w:val="20"/>
      <w:lang w:eastAsia="ar-SA"/>
    </w:rPr>
  </w:style>
  <w:style w:type="character" w:customStyle="1" w:styleId="BodyTextChar">
    <w:name w:val="Body Text Char"/>
    <w:basedOn w:val="DefaultParagraphFont"/>
    <w:link w:val="BodyText"/>
    <w:rsid w:val="00B75D82"/>
    <w:rPr>
      <w:rFonts w:ascii="-moz-fixed" w:eastAsia="-moz-fixed" w:hAnsi="-moz-fixed" w:cs="-moz-fixed"/>
      <w:sz w:val="24"/>
      <w:szCs w:val="20"/>
      <w:lang w:eastAsia="ar-SA"/>
    </w:rPr>
  </w:style>
  <w:style w:type="paragraph" w:styleId="BodyTextIndent2">
    <w:name w:val="Body Text Indent 2"/>
    <w:basedOn w:val="Normal"/>
    <w:link w:val="BodyTextIndent2Char"/>
    <w:uiPriority w:val="99"/>
    <w:semiHidden/>
    <w:unhideWhenUsed/>
    <w:rsid w:val="00B75D82"/>
    <w:pPr>
      <w:spacing w:after="120" w:line="480" w:lineRule="auto"/>
      <w:ind w:left="360"/>
    </w:pPr>
  </w:style>
  <w:style w:type="character" w:customStyle="1" w:styleId="BodyTextIndent2Char">
    <w:name w:val="Body Text Indent 2 Char"/>
    <w:basedOn w:val="DefaultParagraphFont"/>
    <w:link w:val="BodyTextIndent2"/>
    <w:uiPriority w:val="99"/>
    <w:semiHidden/>
    <w:rsid w:val="00B75D82"/>
    <w:rPr>
      <w:rFonts w:ascii="Times New Roman" w:hAnsi="Times New Roman" w:cs="Times New Roman"/>
      <w:sz w:val="24"/>
      <w:szCs w:val="24"/>
    </w:rPr>
  </w:style>
  <w:style w:type="paragraph" w:styleId="ListParagraph">
    <w:name w:val="List Paragraph"/>
    <w:basedOn w:val="Normal"/>
    <w:uiPriority w:val="34"/>
    <w:qFormat/>
    <w:rsid w:val="008844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oregonlaws.org/ors/540.610" TargetMode="External"/><Relationship Id="rId18" Type="http://schemas.openxmlformats.org/officeDocument/2006/relationships/hyperlink" Target="http://web.archive.org/web/20041105214752/http://www.onrc.org/press/ONRCv.USFS.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dh@oregonwild.org" TargetMode="External"/><Relationship Id="rId7" Type="http://schemas.openxmlformats.org/officeDocument/2006/relationships/footnotes" Target="footnotes.xml"/><Relationship Id="rId12" Type="http://schemas.openxmlformats.org/officeDocument/2006/relationships/hyperlink" Target="https://www.fs.usda.gov/project/?project=34721" TargetMode="External"/><Relationship Id="rId17" Type="http://schemas.openxmlformats.org/officeDocument/2006/relationships/hyperlink" Target="http://web.archive.org/web/20090118192937/http://www.fs.fed.us/im/directives/fsh/1909.15/1909.15_40.doc"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eb.archive.org/web/20060829000705/http://www.fs.fed.us/emc/nfma/includes/overview.pdf" TargetMode="External"/><Relationship Id="rId20" Type="http://schemas.openxmlformats.org/officeDocument/2006/relationships/image" Target="media/image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jp@waterwatch.org"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eb.archive.org/web/20030111060230/http://www.fs.fed.us/forum/nepa/decisionm/p4.html"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kcsam@fs.fed.us" TargetMode="External"/><Relationship Id="rId19" Type="http://schemas.openxmlformats.org/officeDocument/2006/relationships/hyperlink" Target="http://wayback.archive.org/web/" TargetMode="External"/><Relationship Id="rId4" Type="http://schemas.microsoft.com/office/2007/relationships/stylesWithEffects" Target="stylesWithEffects.xml"/><Relationship Id="rId9" Type="http://schemas.openxmlformats.org/officeDocument/2006/relationships/hyperlink" Target="mailto:comments-pacificnorthwest-mthood-barlow@fs.fed.us" TargetMode="External"/><Relationship Id="rId14" Type="http://schemas.openxmlformats.org/officeDocument/2006/relationships/hyperlink" Target="https://nrimp.dfw.state.or.us/web%20stores/data%20libraries/files/Watershed%20Councils/Watershed%20Councils_300_DOC_HoodR_WSassess_1999.pdf" TargetMode="External"/><Relationship Id="rId22" Type="http://schemas.openxmlformats.org/officeDocument/2006/relationships/header" Target="header1.xml"/><Relationship Id="rId27"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E2C86-0791-4D55-8BB7-0E865650C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1255</TotalTime>
  <Pages>7</Pages>
  <Words>2912</Words>
  <Characters>16604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 Heiken</cp:lastModifiedBy>
  <cp:revision>11</cp:revision>
  <dcterms:created xsi:type="dcterms:W3CDTF">2018-12-05T23:05:00Z</dcterms:created>
  <dcterms:modified xsi:type="dcterms:W3CDTF">2018-12-06T19:58:00Z</dcterms:modified>
</cp:coreProperties>
</file>