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55" w:rsidRDefault="00C1001E">
      <w:r>
        <w:t>May 28</w:t>
      </w:r>
      <w:r w:rsidR="009A75FF">
        <w:t>, 2020</w:t>
      </w:r>
    </w:p>
    <w:p w:rsidR="009A75FF" w:rsidRDefault="009A75FF" w:rsidP="009A75FF">
      <w:pPr>
        <w:spacing w:after="0"/>
      </w:pPr>
      <w:r>
        <w:t>Connie Cummins</w:t>
      </w:r>
    </w:p>
    <w:p w:rsidR="009A75FF" w:rsidRDefault="009A75FF" w:rsidP="009A75FF">
      <w:pPr>
        <w:spacing w:after="0"/>
      </w:pPr>
      <w:r>
        <w:t>Forest Supervisor, Superior National Forest</w:t>
      </w:r>
    </w:p>
    <w:p w:rsidR="009A75FF" w:rsidRDefault="009A75FF" w:rsidP="009A75FF">
      <w:pPr>
        <w:spacing w:after="0"/>
        <w:rPr>
          <w:b/>
          <w:i/>
        </w:rPr>
      </w:pPr>
      <w:proofErr w:type="gramStart"/>
      <w:r>
        <w:t>c/o</w:t>
      </w:r>
      <w:proofErr w:type="gramEnd"/>
      <w:r>
        <w:t xml:space="preserve"> Michael Jimenez, Project Leader</w:t>
      </w:r>
      <w:r w:rsidR="00705AC2">
        <w:tab/>
      </w:r>
      <w:r w:rsidR="00705AC2">
        <w:rPr>
          <w:b/>
          <w:i/>
        </w:rPr>
        <w:t xml:space="preserve">via email  </w:t>
      </w:r>
      <w:hyperlink r:id="rId6" w:history="1">
        <w:r w:rsidR="00705AC2" w:rsidRPr="00A832CC">
          <w:rPr>
            <w:rStyle w:val="Hyperlink"/>
            <w:b/>
            <w:i/>
          </w:rPr>
          <w:t>comments-eastern-superior@usda.gov</w:t>
        </w:r>
      </w:hyperlink>
    </w:p>
    <w:p w:rsidR="009A75FF" w:rsidRDefault="009A75FF" w:rsidP="009A75FF">
      <w:pPr>
        <w:spacing w:after="0"/>
      </w:pPr>
      <w:r>
        <w:t>8901 Grand Avenue Place</w:t>
      </w:r>
    </w:p>
    <w:p w:rsidR="009A75FF" w:rsidRDefault="002A62E5" w:rsidP="009A75FF">
      <w:pPr>
        <w:spacing w:after="0"/>
      </w:pPr>
      <w:r>
        <w:t>Duluth, MN</w:t>
      </w:r>
      <w:r w:rsidR="009A75FF">
        <w:t xml:space="preserve"> 55808</w:t>
      </w:r>
    </w:p>
    <w:p w:rsidR="009A75FF" w:rsidRDefault="009A75FF" w:rsidP="009A75FF">
      <w:pPr>
        <w:spacing w:after="0"/>
      </w:pPr>
    </w:p>
    <w:p w:rsidR="009A75FF" w:rsidRDefault="009A75FF" w:rsidP="009A75FF">
      <w:pPr>
        <w:spacing w:after="0"/>
      </w:pPr>
      <w:r>
        <w:t>Re: Comments on the Lutsen Mountains Ski Area Expansion Project</w:t>
      </w:r>
    </w:p>
    <w:p w:rsidR="009A75FF" w:rsidRDefault="009A75FF" w:rsidP="009A75FF">
      <w:pPr>
        <w:spacing w:after="0"/>
      </w:pPr>
    </w:p>
    <w:p w:rsidR="00D37D49" w:rsidRDefault="009A75FF" w:rsidP="009A75FF">
      <w:pPr>
        <w:spacing w:after="0"/>
      </w:pPr>
      <w:r>
        <w:t xml:space="preserve">Please accept this </w:t>
      </w:r>
      <w:r w:rsidR="002A62E5">
        <w:t xml:space="preserve">letter serving </w:t>
      </w:r>
      <w:r w:rsidR="004B250F">
        <w:t>to</w:t>
      </w:r>
      <w:r w:rsidR="002A62E5">
        <w:t xml:space="preserve"> support</w:t>
      </w:r>
      <w:r w:rsidR="002A62E5" w:rsidRPr="007317C7">
        <w:rPr>
          <w:color w:val="000000" w:themeColor="text1"/>
        </w:rPr>
        <w:t xml:space="preserve"> </w:t>
      </w:r>
      <w:r>
        <w:t>the proposed Lutsen Mountains Ski Area Expansion Project.</w:t>
      </w:r>
      <w:r w:rsidR="00D37D49">
        <w:t xml:space="preserve">  I wrote an earlier letter of support as a private citizen.  Please accept this letter of support from the perspective of my business. </w:t>
      </w:r>
    </w:p>
    <w:p w:rsidR="00C1001E" w:rsidRDefault="00C1001E" w:rsidP="009A75FF">
      <w:pPr>
        <w:spacing w:after="0"/>
      </w:pPr>
    </w:p>
    <w:p w:rsidR="00C1001E" w:rsidRDefault="00C1001E" w:rsidP="009A75FF">
      <w:pPr>
        <w:spacing w:after="0"/>
      </w:pPr>
      <w:r>
        <w:t xml:space="preserve">The impact of Lutsen Mountains on our overall Cook County economy is significant.  Let me attempt to summarize the impact I have experienced and been involved with over the last 20 years as a real estate broker and a vacation rental </w:t>
      </w:r>
      <w:r w:rsidR="00682855">
        <w:t>manager from</w:t>
      </w:r>
      <w:r>
        <w:t xml:space="preserve"> activity</w:t>
      </w:r>
      <w:r w:rsidR="00EF2605">
        <w:t xml:space="preserve"> within just </w:t>
      </w:r>
      <w:r>
        <w:t xml:space="preserve">one mile of the ski area.   </w:t>
      </w:r>
      <w:r w:rsidR="00EF2605">
        <w:t xml:space="preserve">Of course the impact is much broader and far reaching than within one mile but I found </w:t>
      </w:r>
      <w:r w:rsidR="00682855">
        <w:t xml:space="preserve">the </w:t>
      </w:r>
      <w:r w:rsidR="00EF2605">
        <w:t xml:space="preserve">observations below most interesting.  I believe you will too.  </w:t>
      </w:r>
    </w:p>
    <w:p w:rsidR="00C1001E" w:rsidRDefault="00C1001E" w:rsidP="009A75FF">
      <w:pPr>
        <w:spacing w:after="0"/>
      </w:pPr>
    </w:p>
    <w:p w:rsidR="00C1001E" w:rsidRDefault="00C1001E" w:rsidP="00C1001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Lutsen Log Lodge</w:t>
      </w:r>
      <w:r w:rsidRPr="00E405CC">
        <w:rPr>
          <w:sz w:val="24"/>
          <w:szCs w:val="24"/>
        </w:rPr>
        <w:t>s are located</w:t>
      </w:r>
      <w:r>
        <w:rPr>
          <w:sz w:val="24"/>
          <w:szCs w:val="24"/>
        </w:rPr>
        <w:t xml:space="preserve"> on Ski Hill Road approximately 1 mile from the main area at Lutsen Mountains.  In 2000, a former 20 acre vacant parcel of land was platted for 12 – three bedroom Log Lodges.  Their development team recognized that summer is busy but </w:t>
      </w:r>
      <w:r w:rsidR="00FD3D23">
        <w:rPr>
          <w:sz w:val="24"/>
          <w:szCs w:val="24"/>
        </w:rPr>
        <w:t>recognized the ski area was critical in</w:t>
      </w:r>
      <w:r>
        <w:rPr>
          <w:sz w:val="24"/>
          <w:szCs w:val="24"/>
        </w:rPr>
        <w:t xml:space="preserve"> managing their overall risk </w:t>
      </w:r>
      <w:r w:rsidR="004B250F">
        <w:rPr>
          <w:sz w:val="24"/>
          <w:szCs w:val="24"/>
        </w:rPr>
        <w:t xml:space="preserve">of whether to build or not.  They did, and it worked.  </w:t>
      </w:r>
      <w:r>
        <w:rPr>
          <w:sz w:val="24"/>
          <w:szCs w:val="24"/>
        </w:rPr>
        <w:t xml:space="preserve"> </w:t>
      </w:r>
      <w:r w:rsidR="00C45789">
        <w:rPr>
          <w:sz w:val="24"/>
          <w:szCs w:val="24"/>
        </w:rPr>
        <w:t>Construction commenced in 2000 and 2001 with all Log Lodges sold during that time</w:t>
      </w:r>
      <w:r w:rsidR="00C45789">
        <w:rPr>
          <w:sz w:val="24"/>
          <w:szCs w:val="24"/>
        </w:rPr>
        <w:t xml:space="preserve">.  </w:t>
      </w:r>
      <w:r w:rsidR="004B250F">
        <w:rPr>
          <w:sz w:val="24"/>
          <w:szCs w:val="24"/>
        </w:rPr>
        <w:t xml:space="preserve">The purchase of these vacation homes demonstrated consumer confidence in the area as well.  </w:t>
      </w:r>
      <w:r>
        <w:rPr>
          <w:sz w:val="24"/>
          <w:szCs w:val="24"/>
        </w:rPr>
        <w:t xml:space="preserve"> Many of these homes became part of </w:t>
      </w:r>
      <w:r w:rsidR="00EF2605">
        <w:rPr>
          <w:sz w:val="24"/>
          <w:szCs w:val="24"/>
        </w:rPr>
        <w:t>my vacation rental program with winter lodging filled with skiers.</w:t>
      </w:r>
      <w:r w:rsidR="00682855">
        <w:rPr>
          <w:sz w:val="24"/>
          <w:szCs w:val="24"/>
        </w:rPr>
        <w:t xml:space="preserve">  </w:t>
      </w:r>
    </w:p>
    <w:p w:rsidR="00C1001E" w:rsidRDefault="00C1001E" w:rsidP="00C1001E">
      <w:pPr>
        <w:pStyle w:val="ListParagraph"/>
        <w:rPr>
          <w:sz w:val="24"/>
          <w:szCs w:val="24"/>
        </w:rPr>
      </w:pPr>
    </w:p>
    <w:p w:rsidR="00C1001E" w:rsidRDefault="00C1001E" w:rsidP="00C1001E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Shortly after the 12 Log Lodge home </w:t>
      </w:r>
      <w:proofErr w:type="gramStart"/>
      <w:r>
        <w:rPr>
          <w:sz w:val="24"/>
          <w:szCs w:val="24"/>
        </w:rPr>
        <w:t>development</w:t>
      </w:r>
      <w:proofErr w:type="gramEnd"/>
      <w:r>
        <w:rPr>
          <w:sz w:val="24"/>
          <w:szCs w:val="24"/>
        </w:rPr>
        <w:t xml:space="preserve"> opened in 2000-2001, the Heritage at Lutsen plat of 39 home sites </w:t>
      </w:r>
      <w:r w:rsidRPr="00E405CC">
        <w:rPr>
          <w:sz w:val="24"/>
          <w:szCs w:val="24"/>
        </w:rPr>
        <w:t xml:space="preserve">located </w:t>
      </w:r>
      <w:r w:rsidR="00FD3D23">
        <w:rPr>
          <w:sz w:val="24"/>
          <w:szCs w:val="24"/>
        </w:rPr>
        <w:t>across Ski</w:t>
      </w:r>
      <w:r>
        <w:rPr>
          <w:sz w:val="24"/>
          <w:szCs w:val="24"/>
        </w:rPr>
        <w:t xml:space="preserve"> Hill Road </w:t>
      </w:r>
      <w:r w:rsidR="00C45789">
        <w:rPr>
          <w:sz w:val="24"/>
          <w:szCs w:val="24"/>
        </w:rPr>
        <w:t>from the Log Lodges a</w:t>
      </w:r>
      <w:r w:rsidR="00EF2605">
        <w:rPr>
          <w:sz w:val="24"/>
          <w:szCs w:val="24"/>
        </w:rPr>
        <w:t xml:space="preserve">t Superior National Golf </w:t>
      </w:r>
      <w:r w:rsidR="004B250F">
        <w:rPr>
          <w:sz w:val="24"/>
          <w:szCs w:val="24"/>
        </w:rPr>
        <w:t>Course was</w:t>
      </w:r>
      <w:r w:rsidR="00FD3D23">
        <w:rPr>
          <w:sz w:val="24"/>
          <w:szCs w:val="24"/>
        </w:rPr>
        <w:t xml:space="preserve"> approved to move forward.  </w:t>
      </w:r>
      <w:r>
        <w:rPr>
          <w:sz w:val="24"/>
          <w:szCs w:val="24"/>
        </w:rPr>
        <w:t>To date the following has resulted:</w:t>
      </w:r>
    </w:p>
    <w:p w:rsidR="00C1001E" w:rsidRDefault="00C1001E" w:rsidP="00C1001E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2F2ECC">
        <w:rPr>
          <w:sz w:val="24"/>
          <w:szCs w:val="24"/>
        </w:rPr>
        <w:t xml:space="preserve">All of the original </w:t>
      </w:r>
      <w:r w:rsidR="00FD3D23" w:rsidRPr="002F2ECC">
        <w:rPr>
          <w:sz w:val="24"/>
          <w:szCs w:val="24"/>
        </w:rPr>
        <w:t>homes sites</w:t>
      </w:r>
      <w:r w:rsidRPr="002F2ECC">
        <w:rPr>
          <w:sz w:val="24"/>
          <w:szCs w:val="24"/>
        </w:rPr>
        <w:t xml:space="preserve"> have been </w:t>
      </w:r>
      <w:r>
        <w:rPr>
          <w:sz w:val="24"/>
          <w:szCs w:val="24"/>
        </w:rPr>
        <w:t>sold</w:t>
      </w:r>
      <w:r w:rsidR="00C45789">
        <w:rPr>
          <w:sz w:val="24"/>
          <w:szCs w:val="24"/>
        </w:rPr>
        <w:t>.</w:t>
      </w:r>
    </w:p>
    <w:p w:rsidR="00C1001E" w:rsidRPr="002F2ECC" w:rsidRDefault="00C1001E" w:rsidP="00C1001E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2F2ECC">
        <w:rPr>
          <w:sz w:val="24"/>
          <w:szCs w:val="24"/>
        </w:rPr>
        <w:t>3 townhomes – known as The Heri</w:t>
      </w:r>
      <w:r>
        <w:rPr>
          <w:sz w:val="24"/>
          <w:szCs w:val="24"/>
        </w:rPr>
        <w:t>tage Townhomes were developed and sold</w:t>
      </w:r>
      <w:r w:rsidR="00C4578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1001E" w:rsidRDefault="00C1001E" w:rsidP="00C1001E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14 homes have been constructed and completed</w:t>
      </w:r>
      <w:r w:rsidR="00C4578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1001E" w:rsidRDefault="00C1001E" w:rsidP="00C1001E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 homes are currently under construction</w:t>
      </w:r>
      <w:r w:rsidR="00C45789">
        <w:rPr>
          <w:sz w:val="24"/>
          <w:szCs w:val="24"/>
        </w:rPr>
        <w:t>.</w:t>
      </w:r>
    </w:p>
    <w:p w:rsidR="00C1001E" w:rsidRDefault="00C1001E" w:rsidP="00C1001E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 additional homes are planning for construction beginning late 2020 or early 2021.</w:t>
      </w:r>
    </w:p>
    <w:p w:rsidR="00C1001E" w:rsidRDefault="00C1001E" w:rsidP="00C1001E">
      <w:pPr>
        <w:pStyle w:val="ListParagraph"/>
        <w:spacing w:after="0"/>
        <w:ind w:left="1440"/>
        <w:rPr>
          <w:sz w:val="24"/>
          <w:szCs w:val="24"/>
        </w:rPr>
      </w:pPr>
    </w:p>
    <w:p w:rsidR="00FD3D23" w:rsidRDefault="00FD3D23" w:rsidP="00C1001E">
      <w:pPr>
        <w:pStyle w:val="ListParagraph"/>
        <w:spacing w:after="0"/>
        <w:ind w:left="1440"/>
        <w:rPr>
          <w:sz w:val="24"/>
          <w:szCs w:val="24"/>
        </w:rPr>
      </w:pPr>
    </w:p>
    <w:p w:rsidR="00C1001E" w:rsidRPr="00E405CC" w:rsidRDefault="00C1001E" w:rsidP="00C1001E">
      <w:pPr>
        <w:spacing w:after="0"/>
        <w:rPr>
          <w:sz w:val="24"/>
          <w:szCs w:val="24"/>
        </w:rPr>
      </w:pPr>
      <w:r w:rsidRPr="00E405CC">
        <w:rPr>
          <w:sz w:val="24"/>
          <w:szCs w:val="24"/>
        </w:rPr>
        <w:t>Please consider these facts as it relates to the two developments:</w:t>
      </w:r>
    </w:p>
    <w:p w:rsidR="00C1001E" w:rsidRDefault="00C1001E" w:rsidP="00C1001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405CC">
        <w:rPr>
          <w:sz w:val="24"/>
          <w:szCs w:val="24"/>
        </w:rPr>
        <w:t>In 2001, just prior to the development of the Log Lodges, real estate taxes collected for this previously undeveloped 20 acre parcel totaled $42</w:t>
      </w:r>
      <w:r w:rsidR="00C45789">
        <w:rPr>
          <w:sz w:val="24"/>
          <w:szCs w:val="24"/>
        </w:rPr>
        <w:t>.</w:t>
      </w:r>
      <w:r w:rsidRPr="00E973F9">
        <w:rPr>
          <w:b/>
          <w:i/>
          <w:sz w:val="24"/>
          <w:szCs w:val="24"/>
        </w:rPr>
        <w:t xml:space="preserve"> </w:t>
      </w:r>
    </w:p>
    <w:p w:rsidR="00C1001E" w:rsidRDefault="00C1001E" w:rsidP="00C1001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405CC">
        <w:rPr>
          <w:sz w:val="24"/>
          <w:szCs w:val="24"/>
        </w:rPr>
        <w:t>Post development, cumulative</w:t>
      </w:r>
      <w:r>
        <w:rPr>
          <w:sz w:val="24"/>
          <w:szCs w:val="24"/>
        </w:rPr>
        <w:t xml:space="preserve"> tax revenues collected by Cook County between 2002- 2020</w:t>
      </w:r>
      <w:r w:rsidRPr="00E405CC">
        <w:rPr>
          <w:sz w:val="24"/>
          <w:szCs w:val="24"/>
        </w:rPr>
        <w:t xml:space="preserve"> total</w:t>
      </w:r>
      <w:r>
        <w:rPr>
          <w:sz w:val="24"/>
          <w:szCs w:val="24"/>
        </w:rPr>
        <w:t xml:space="preserve"> nearly $400,000</w:t>
      </w:r>
      <w:r w:rsidR="00C45789">
        <w:rPr>
          <w:sz w:val="24"/>
          <w:szCs w:val="24"/>
        </w:rPr>
        <w:t>.</w:t>
      </w:r>
    </w:p>
    <w:p w:rsidR="00FD3D23" w:rsidRDefault="00FD3D23" w:rsidP="00FD3D23">
      <w:pPr>
        <w:pStyle w:val="ListParagraph"/>
        <w:rPr>
          <w:sz w:val="24"/>
          <w:szCs w:val="24"/>
        </w:rPr>
      </w:pPr>
    </w:p>
    <w:p w:rsidR="00C1001E" w:rsidRDefault="00C1001E" w:rsidP="00C1001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405CC">
        <w:rPr>
          <w:sz w:val="24"/>
          <w:szCs w:val="24"/>
        </w:rPr>
        <w:t xml:space="preserve">In 1999, just prior to the plating process for the </w:t>
      </w:r>
      <w:r>
        <w:rPr>
          <w:sz w:val="24"/>
          <w:szCs w:val="24"/>
        </w:rPr>
        <w:t>39</w:t>
      </w:r>
      <w:r w:rsidRPr="00E405CC">
        <w:rPr>
          <w:sz w:val="24"/>
          <w:szCs w:val="24"/>
        </w:rPr>
        <w:t xml:space="preserve"> golf course home site development, total tax revenues collected for this previously undeveloped area totaled $300</w:t>
      </w:r>
      <w:r w:rsidR="00C4578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1001E" w:rsidRDefault="00C1001E" w:rsidP="00C1001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405CC">
        <w:rPr>
          <w:sz w:val="24"/>
          <w:szCs w:val="24"/>
        </w:rPr>
        <w:t>Post development, cumulative tax revenues</w:t>
      </w:r>
      <w:r>
        <w:rPr>
          <w:sz w:val="24"/>
          <w:szCs w:val="24"/>
        </w:rPr>
        <w:t xml:space="preserve"> collected </w:t>
      </w:r>
      <w:r w:rsidRPr="00E405CC">
        <w:rPr>
          <w:sz w:val="24"/>
          <w:szCs w:val="24"/>
        </w:rPr>
        <w:t>between 2002- 20</w:t>
      </w:r>
      <w:r>
        <w:rPr>
          <w:sz w:val="24"/>
          <w:szCs w:val="24"/>
        </w:rPr>
        <w:t>20</w:t>
      </w:r>
      <w:r w:rsidRPr="00E405CC">
        <w:rPr>
          <w:sz w:val="24"/>
          <w:szCs w:val="24"/>
        </w:rPr>
        <w:t xml:space="preserve"> for the golf course home</w:t>
      </w:r>
      <w:r>
        <w:rPr>
          <w:sz w:val="24"/>
          <w:szCs w:val="24"/>
        </w:rPr>
        <w:t xml:space="preserve"> </w:t>
      </w:r>
      <w:r w:rsidRPr="00E405CC">
        <w:rPr>
          <w:sz w:val="24"/>
          <w:szCs w:val="24"/>
        </w:rPr>
        <w:t xml:space="preserve">sites, homes and townhomes </w:t>
      </w:r>
      <w:r>
        <w:rPr>
          <w:sz w:val="24"/>
          <w:szCs w:val="24"/>
        </w:rPr>
        <w:t>is nearly ¾ million dollars ($723,287)</w:t>
      </w:r>
      <w:r w:rsidR="00C45789">
        <w:rPr>
          <w:sz w:val="24"/>
          <w:szCs w:val="24"/>
        </w:rPr>
        <w:t>.</w:t>
      </w:r>
    </w:p>
    <w:p w:rsidR="00FD3D23" w:rsidRDefault="00FD3D23" w:rsidP="00FD3D23">
      <w:pPr>
        <w:pStyle w:val="ListParagraph"/>
        <w:rPr>
          <w:sz w:val="24"/>
          <w:szCs w:val="24"/>
        </w:rPr>
      </w:pPr>
    </w:p>
    <w:p w:rsidR="00C1001E" w:rsidRDefault="00C1001E" w:rsidP="00C1001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405CC">
        <w:rPr>
          <w:sz w:val="24"/>
          <w:szCs w:val="24"/>
        </w:rPr>
        <w:t xml:space="preserve">Combined, these two developments have generated </w:t>
      </w:r>
      <w:r>
        <w:rPr>
          <w:sz w:val="24"/>
          <w:szCs w:val="24"/>
        </w:rPr>
        <w:t>$1,097,700</w:t>
      </w:r>
      <w:r w:rsidRPr="00E405CC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new </w:t>
      </w:r>
      <w:r w:rsidRPr="00E405CC">
        <w:rPr>
          <w:sz w:val="24"/>
          <w:szCs w:val="24"/>
        </w:rPr>
        <w:t>county tax revenues</w:t>
      </w:r>
      <w:r>
        <w:rPr>
          <w:sz w:val="24"/>
          <w:szCs w:val="24"/>
        </w:rPr>
        <w:t xml:space="preserve"> </w:t>
      </w:r>
      <w:r w:rsidR="00682855">
        <w:rPr>
          <w:sz w:val="24"/>
          <w:szCs w:val="24"/>
        </w:rPr>
        <w:t>and of course such collections will continue to grow</w:t>
      </w:r>
      <w:r w:rsidR="00C45789">
        <w:rPr>
          <w:sz w:val="24"/>
          <w:szCs w:val="24"/>
        </w:rPr>
        <w:t>.</w:t>
      </w:r>
    </w:p>
    <w:p w:rsidR="00FD3D23" w:rsidRPr="00FD3D23" w:rsidRDefault="00FD3D23" w:rsidP="00FD3D23">
      <w:pPr>
        <w:pStyle w:val="ListParagraph"/>
        <w:rPr>
          <w:sz w:val="24"/>
          <w:szCs w:val="24"/>
        </w:rPr>
      </w:pPr>
    </w:p>
    <w:p w:rsidR="00C1001E" w:rsidRDefault="00C1001E" w:rsidP="00C4578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Cook County shows</w:t>
      </w:r>
      <w:r w:rsidRPr="00E405CC">
        <w:rPr>
          <w:sz w:val="24"/>
          <w:szCs w:val="24"/>
        </w:rPr>
        <w:t xml:space="preserve"> estimated improved and unimproved </w:t>
      </w:r>
      <w:r>
        <w:rPr>
          <w:sz w:val="24"/>
          <w:szCs w:val="24"/>
        </w:rPr>
        <w:t xml:space="preserve">property </w:t>
      </w:r>
      <w:r w:rsidRPr="00E405CC">
        <w:rPr>
          <w:sz w:val="24"/>
          <w:szCs w:val="24"/>
        </w:rPr>
        <w:t>values totaling $</w:t>
      </w:r>
      <w:r>
        <w:rPr>
          <w:sz w:val="24"/>
          <w:szCs w:val="24"/>
        </w:rPr>
        <w:t>9,342,840 for the two developments</w:t>
      </w:r>
    </w:p>
    <w:p w:rsidR="00C1001E" w:rsidRPr="00C45789" w:rsidRDefault="00C1001E" w:rsidP="00C45789">
      <w:pPr>
        <w:rPr>
          <w:i/>
          <w:sz w:val="18"/>
          <w:szCs w:val="18"/>
        </w:rPr>
      </w:pPr>
      <w:r w:rsidRPr="00C45789">
        <w:rPr>
          <w:i/>
          <w:sz w:val="18"/>
          <w:szCs w:val="18"/>
        </w:rPr>
        <w:t>(Source:  Cook County Assessor’s Office)</w:t>
      </w:r>
    </w:p>
    <w:p w:rsidR="00C1001E" w:rsidRDefault="00C1001E" w:rsidP="00C1001E">
      <w:pPr>
        <w:rPr>
          <w:sz w:val="24"/>
          <w:szCs w:val="24"/>
        </w:rPr>
      </w:pPr>
      <w:r>
        <w:rPr>
          <w:sz w:val="24"/>
          <w:szCs w:val="24"/>
        </w:rPr>
        <w:t>The two</w:t>
      </w:r>
      <w:r w:rsidRPr="00E405CC">
        <w:rPr>
          <w:sz w:val="24"/>
          <w:szCs w:val="24"/>
        </w:rPr>
        <w:t xml:space="preserve"> developments </w:t>
      </w:r>
      <w:r>
        <w:rPr>
          <w:sz w:val="24"/>
          <w:szCs w:val="24"/>
        </w:rPr>
        <w:t>noted above serve</w:t>
      </w:r>
      <w:r w:rsidRPr="00E405CC">
        <w:rPr>
          <w:sz w:val="24"/>
          <w:szCs w:val="24"/>
        </w:rPr>
        <w:t xml:space="preserve"> as a measureable source of</w:t>
      </w:r>
      <w:r>
        <w:rPr>
          <w:sz w:val="24"/>
          <w:szCs w:val="24"/>
        </w:rPr>
        <w:t xml:space="preserve"> real estate tax</w:t>
      </w:r>
      <w:r w:rsidRPr="00E405CC">
        <w:rPr>
          <w:sz w:val="24"/>
          <w:szCs w:val="24"/>
        </w:rPr>
        <w:t xml:space="preserve"> revenue for Cook </w:t>
      </w:r>
      <w:r>
        <w:rPr>
          <w:sz w:val="24"/>
          <w:szCs w:val="24"/>
        </w:rPr>
        <w:t xml:space="preserve">County. </w:t>
      </w:r>
      <w:r w:rsidRPr="00E405CC">
        <w:rPr>
          <w:sz w:val="24"/>
          <w:szCs w:val="24"/>
        </w:rPr>
        <w:t xml:space="preserve">  And that’s a benefit to all citizens of Cook County.</w:t>
      </w:r>
    </w:p>
    <w:p w:rsidR="00C1001E" w:rsidRPr="00E405CC" w:rsidRDefault="00C1001E" w:rsidP="00C1001E">
      <w:pPr>
        <w:rPr>
          <w:sz w:val="24"/>
          <w:szCs w:val="24"/>
        </w:rPr>
      </w:pPr>
      <w:r>
        <w:rPr>
          <w:sz w:val="24"/>
          <w:szCs w:val="24"/>
        </w:rPr>
        <w:t>In addition, when considering the nearly 30 new homes and townhomes that have been developed within these two plats</w:t>
      </w:r>
      <w:r w:rsidR="00FD3D23">
        <w:rPr>
          <w:sz w:val="24"/>
          <w:szCs w:val="24"/>
        </w:rPr>
        <w:t>, such</w:t>
      </w:r>
      <w:r>
        <w:rPr>
          <w:sz w:val="24"/>
          <w:szCs w:val="24"/>
        </w:rPr>
        <w:t xml:space="preserve"> properties have a tax value exceeding $9,000,000.  The nine million in values was created by our local trades, builders, general contractors, road builders, septic </w:t>
      </w:r>
      <w:r w:rsidR="008F5AC5">
        <w:rPr>
          <w:sz w:val="24"/>
          <w:szCs w:val="24"/>
        </w:rPr>
        <w:t>installers and</w:t>
      </w:r>
      <w:r>
        <w:rPr>
          <w:sz w:val="24"/>
          <w:szCs w:val="24"/>
        </w:rPr>
        <w:t xml:space="preserve"> other</w:t>
      </w:r>
      <w:r w:rsidR="00682855">
        <w:rPr>
          <w:sz w:val="24"/>
          <w:szCs w:val="24"/>
        </w:rPr>
        <w:t xml:space="preserve"> local</w:t>
      </w:r>
      <w:r w:rsidR="00FD3D23">
        <w:rPr>
          <w:sz w:val="24"/>
          <w:szCs w:val="24"/>
        </w:rPr>
        <w:t xml:space="preserve"> service </w:t>
      </w:r>
      <w:r>
        <w:rPr>
          <w:sz w:val="24"/>
          <w:szCs w:val="24"/>
        </w:rPr>
        <w:t xml:space="preserve">providers.  </w:t>
      </w:r>
      <w:r w:rsidR="00682855">
        <w:rPr>
          <w:sz w:val="24"/>
          <w:szCs w:val="24"/>
        </w:rPr>
        <w:t>T</w:t>
      </w:r>
      <w:r>
        <w:rPr>
          <w:sz w:val="24"/>
          <w:szCs w:val="24"/>
        </w:rPr>
        <w:t xml:space="preserve">he data </w:t>
      </w:r>
      <w:bookmarkStart w:id="0" w:name="_GoBack"/>
      <w:bookmarkEnd w:id="0"/>
      <w:r>
        <w:rPr>
          <w:sz w:val="24"/>
          <w:szCs w:val="24"/>
        </w:rPr>
        <w:t>demonstrates that Lutsen Mountains</w:t>
      </w:r>
      <w:r w:rsidR="00C45789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had a measurable and positive impact on our local </w:t>
      </w:r>
      <w:r w:rsidR="00FD3D23">
        <w:rPr>
          <w:sz w:val="24"/>
          <w:szCs w:val="24"/>
        </w:rPr>
        <w:t>economy a</w:t>
      </w:r>
      <w:r w:rsidR="008F5AC5">
        <w:rPr>
          <w:sz w:val="24"/>
          <w:szCs w:val="24"/>
        </w:rPr>
        <w:t>nd th</w:t>
      </w:r>
      <w:r w:rsidR="00682855">
        <w:rPr>
          <w:sz w:val="24"/>
          <w:szCs w:val="24"/>
        </w:rPr>
        <w:t xml:space="preserve">e </w:t>
      </w:r>
      <w:r w:rsidR="00FD3D23">
        <w:rPr>
          <w:sz w:val="24"/>
          <w:szCs w:val="24"/>
        </w:rPr>
        <w:t xml:space="preserve">two </w:t>
      </w:r>
      <w:r w:rsidR="00682855">
        <w:rPr>
          <w:sz w:val="24"/>
          <w:szCs w:val="24"/>
        </w:rPr>
        <w:t xml:space="preserve">above </w:t>
      </w:r>
      <w:r w:rsidR="00FD3D23">
        <w:rPr>
          <w:sz w:val="24"/>
          <w:szCs w:val="24"/>
        </w:rPr>
        <w:t xml:space="preserve">illustrations </w:t>
      </w:r>
      <w:r w:rsidR="00682855">
        <w:rPr>
          <w:sz w:val="24"/>
          <w:szCs w:val="24"/>
        </w:rPr>
        <w:t>is measured within a short mile of the ski area.</w:t>
      </w:r>
      <w:r>
        <w:rPr>
          <w:sz w:val="24"/>
          <w:szCs w:val="24"/>
        </w:rPr>
        <w:t xml:space="preserve"> </w:t>
      </w:r>
      <w:r w:rsidR="00C45789">
        <w:rPr>
          <w:sz w:val="24"/>
          <w:szCs w:val="24"/>
        </w:rPr>
        <w:t xml:space="preserve">  </w:t>
      </w:r>
      <w:r w:rsidR="00FD3D23">
        <w:rPr>
          <w:sz w:val="24"/>
          <w:szCs w:val="24"/>
        </w:rPr>
        <w:t>Lastly, the developments</w:t>
      </w:r>
      <w:r w:rsidR="00C45789">
        <w:rPr>
          <w:sz w:val="24"/>
          <w:szCs w:val="24"/>
        </w:rPr>
        <w:t xml:space="preserve"> would not have occurred if </w:t>
      </w:r>
      <w:r w:rsidR="00FD3D23">
        <w:rPr>
          <w:sz w:val="24"/>
          <w:szCs w:val="24"/>
        </w:rPr>
        <w:t xml:space="preserve">the ski area was not making measurable reinvestments during such times; which they were.  </w:t>
      </w:r>
    </w:p>
    <w:p w:rsidR="00C1001E" w:rsidRPr="00E405CC" w:rsidRDefault="00C1001E" w:rsidP="00C1001E">
      <w:pPr>
        <w:spacing w:after="0"/>
        <w:rPr>
          <w:sz w:val="24"/>
          <w:szCs w:val="24"/>
        </w:rPr>
      </w:pPr>
      <w:r w:rsidRPr="00E405CC">
        <w:rPr>
          <w:sz w:val="24"/>
          <w:szCs w:val="24"/>
        </w:rPr>
        <w:t xml:space="preserve">A healthy </w:t>
      </w:r>
      <w:r w:rsidR="00682855">
        <w:rPr>
          <w:sz w:val="24"/>
          <w:szCs w:val="24"/>
        </w:rPr>
        <w:t xml:space="preserve">ski </w:t>
      </w:r>
      <w:proofErr w:type="gramStart"/>
      <w:r w:rsidR="00682855">
        <w:rPr>
          <w:sz w:val="24"/>
          <w:szCs w:val="24"/>
        </w:rPr>
        <w:t xml:space="preserve">area </w:t>
      </w:r>
      <w:r w:rsidRPr="00E405CC">
        <w:rPr>
          <w:sz w:val="24"/>
          <w:szCs w:val="24"/>
        </w:rPr>
        <w:t xml:space="preserve"> (</w:t>
      </w:r>
      <w:proofErr w:type="gramEnd"/>
      <w:r w:rsidRPr="00E405CC">
        <w:rPr>
          <w:sz w:val="24"/>
          <w:szCs w:val="24"/>
        </w:rPr>
        <w:t xml:space="preserve">the </w:t>
      </w:r>
      <w:r w:rsidR="00682855">
        <w:rPr>
          <w:sz w:val="24"/>
          <w:szCs w:val="24"/>
        </w:rPr>
        <w:t xml:space="preserve">expansion </w:t>
      </w:r>
      <w:r w:rsidRPr="00E405CC">
        <w:rPr>
          <w:sz w:val="24"/>
          <w:szCs w:val="24"/>
        </w:rPr>
        <w:t>project) will:</w:t>
      </w:r>
    </w:p>
    <w:p w:rsidR="00C1001E" w:rsidRPr="00E405CC" w:rsidRDefault="00C1001E" w:rsidP="00C1001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405CC">
        <w:rPr>
          <w:sz w:val="24"/>
          <w:szCs w:val="24"/>
        </w:rPr>
        <w:t xml:space="preserve">Increase confidence for yet new area home development, new complementing projects and encourage reinvestment into existing properties near and around the </w:t>
      </w:r>
      <w:r w:rsidR="00682855">
        <w:rPr>
          <w:sz w:val="24"/>
          <w:szCs w:val="24"/>
        </w:rPr>
        <w:t>ski area.</w:t>
      </w:r>
    </w:p>
    <w:p w:rsidR="00C1001E" w:rsidRPr="00E405CC" w:rsidRDefault="00C1001E" w:rsidP="00C1001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405CC">
        <w:rPr>
          <w:sz w:val="24"/>
          <w:szCs w:val="24"/>
        </w:rPr>
        <w:t>Generate new and a growing tax revenue base for Cook County (already demonstrated).</w:t>
      </w:r>
    </w:p>
    <w:p w:rsidR="00C1001E" w:rsidRDefault="00C1001E" w:rsidP="00C1001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405CC">
        <w:rPr>
          <w:sz w:val="24"/>
          <w:szCs w:val="24"/>
        </w:rPr>
        <w:t>Continue to employ local trades with living based wages (home builders, service providers and more).</w:t>
      </w:r>
    </w:p>
    <w:p w:rsidR="00C45789" w:rsidRPr="00FD3D23" w:rsidRDefault="00C45789" w:rsidP="00C1001E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and</w:t>
      </w:r>
      <w:proofErr w:type="gramEnd"/>
      <w:r>
        <w:rPr>
          <w:i/>
          <w:sz w:val="24"/>
          <w:szCs w:val="24"/>
        </w:rPr>
        <w:t xml:space="preserve"> so much more.</w:t>
      </w:r>
    </w:p>
    <w:p w:rsidR="00FD3D23" w:rsidRPr="00FD3D23" w:rsidRDefault="00FD3D23" w:rsidP="00FD3D23">
      <w:pPr>
        <w:rPr>
          <w:sz w:val="24"/>
          <w:szCs w:val="24"/>
        </w:rPr>
      </w:pPr>
    </w:p>
    <w:p w:rsidR="00163D39" w:rsidRDefault="00325668" w:rsidP="00325668">
      <w:pPr>
        <w:rPr>
          <w:sz w:val="24"/>
          <w:szCs w:val="24"/>
        </w:rPr>
      </w:pPr>
      <w:r>
        <w:rPr>
          <w:sz w:val="24"/>
          <w:szCs w:val="24"/>
        </w:rPr>
        <w:t xml:space="preserve">Thank you for taking the Lutsen Mountains expansion project under thoughtful consideration.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163D39" w:rsidTr="00163D3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tbl>
            <w:tblPr>
              <w:tblW w:w="5385" w:type="dxa"/>
              <w:tblCellSpacing w:w="0" w:type="dxa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5"/>
            </w:tblGrid>
            <w:tr w:rsidR="00163D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1D99" w:rsidRDefault="00163D39" w:rsidP="002B1D99">
                  <w:pPr>
                    <w:rPr>
                      <w:rFonts w:ascii="Verdana" w:eastAsia="Times New Roman" w:hAnsi="Verdana" w:cs="Times New Roman"/>
                      <w:noProof/>
                      <w:color w:val="002A3E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2A3E"/>
                      <w:sz w:val="17"/>
                      <w:szCs w:val="17"/>
                    </w:rPr>
                    <w:t>Mike Larson</w:t>
                  </w:r>
                  <w:r>
                    <w:rPr>
                      <w:rFonts w:ascii="Verdana" w:eastAsia="Times New Roman" w:hAnsi="Verdana" w:cs="Times New Roman"/>
                      <w:noProof/>
                      <w:color w:val="4E4B4C"/>
                      <w:sz w:val="17"/>
                      <w:szCs w:val="17"/>
                    </w:rPr>
                    <w:br/>
                    <w:t>Partner,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2A3E"/>
                      <w:sz w:val="17"/>
                      <w:szCs w:val="17"/>
                    </w:rPr>
                    <w:t>Cascade Vacation Rentals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2A3E"/>
                      <w:sz w:val="17"/>
                      <w:szCs w:val="17"/>
                    </w:rPr>
                    <w:t xml:space="preserve">  </w:t>
                  </w:r>
                </w:p>
                <w:p w:rsidR="00163D39" w:rsidRDefault="00163D39" w:rsidP="002B1D99">
                  <w:pPr>
                    <w:rPr>
                      <w:rFonts w:ascii="Verdana" w:eastAsia="Times New Roman" w:hAnsi="Verdana" w:cs="Times New Roman"/>
                      <w:noProof/>
                      <w:color w:val="4E4B4C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2A3E"/>
                      <w:sz w:val="17"/>
                      <w:szCs w:val="17"/>
                    </w:rPr>
                    <w:t>Broker, Lutsen Real Estate Group</w:t>
                  </w:r>
                </w:p>
              </w:tc>
            </w:tr>
          </w:tbl>
          <w:p w:rsidR="00163D39" w:rsidRDefault="00163D39">
            <w:pPr>
              <w:rPr>
                <w:rFonts w:cs="Times New Roman"/>
              </w:rPr>
            </w:pPr>
          </w:p>
        </w:tc>
      </w:tr>
      <w:tr w:rsidR="00163D39" w:rsidTr="00163D3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55" w:type="dxa"/>
              <w:right w:w="0" w:type="dxa"/>
            </w:tcMar>
            <w:vAlign w:val="center"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4"/>
            </w:tblGrid>
            <w:tr w:rsidR="00163D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63D39" w:rsidRDefault="00163D39">
                  <w:pPr>
                    <w:rPr>
                      <w:rFonts w:ascii="Verdana" w:eastAsia="Times New Roman" w:hAnsi="Verdana" w:cs="Times New Roman"/>
                      <w:noProof/>
                      <w:color w:val="4E4B4C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2A3E"/>
                      <w:sz w:val="17"/>
                      <w:szCs w:val="17"/>
                    </w:rPr>
                    <w:t>Address 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4E4B4C"/>
                      <w:sz w:val="17"/>
                      <w:szCs w:val="17"/>
                    </w:rPr>
                    <w:t>5335 Highway 61, Lutsen, MN 55612</w:t>
                  </w:r>
                </w:p>
              </w:tc>
            </w:tr>
          </w:tbl>
          <w:p w:rsidR="00163D39" w:rsidRDefault="00163D39">
            <w:pPr>
              <w:rPr>
                <w:rFonts w:ascii="Times New Roman" w:eastAsia="Times New Roman" w:hAnsi="Times New Roman" w:cs="Times New Roman"/>
                <w:noProof/>
                <w:vanish/>
                <w:sz w:val="24"/>
                <w:szCs w:val="24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5"/>
            </w:tblGrid>
            <w:tr w:rsidR="00163D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63D39" w:rsidRDefault="00163D39">
                  <w:pPr>
                    <w:rPr>
                      <w:rFonts w:ascii="Verdana" w:eastAsia="Times New Roman" w:hAnsi="Verdana" w:cs="Times New Roman"/>
                      <w:noProof/>
                      <w:color w:val="4E4B4C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2A3E"/>
                      <w:sz w:val="17"/>
                      <w:szCs w:val="17"/>
                    </w:rPr>
                    <w:t>Phone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4E4B4C"/>
                      <w:sz w:val="17"/>
                      <w:szCs w:val="17"/>
                    </w:rPr>
                    <w:t> </w:t>
                  </w:r>
                  <w:hyperlink r:id="rId7" w:history="1">
                    <w:r>
                      <w:rPr>
                        <w:rStyle w:val="Hyperlink"/>
                        <w:rFonts w:ascii="Verdana" w:eastAsia="Times New Roman" w:hAnsi="Verdana" w:cs="Times New Roman"/>
                        <w:noProof/>
                        <w:color w:val="4E4B4C"/>
                        <w:sz w:val="17"/>
                        <w:szCs w:val="17"/>
                      </w:rPr>
                      <w:t>(218) 663-7971 Ext. 32 Direct (218)-370-1536 </w:t>
                    </w:r>
                  </w:hyperlink>
                </w:p>
              </w:tc>
            </w:tr>
          </w:tbl>
          <w:p w:rsidR="00163D39" w:rsidRDefault="00163D39">
            <w:pPr>
              <w:rPr>
                <w:rFonts w:ascii="Times New Roman" w:eastAsia="Times New Roman" w:hAnsi="Times New Roman" w:cs="Times New Roman"/>
                <w:noProof/>
                <w:vanish/>
                <w:sz w:val="24"/>
                <w:szCs w:val="24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7"/>
            </w:tblGrid>
            <w:tr w:rsidR="00163D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63D39" w:rsidRDefault="00163D39">
                  <w:pPr>
                    <w:rPr>
                      <w:rFonts w:ascii="Verdana" w:eastAsia="Times New Roman" w:hAnsi="Verdana" w:cs="Times New Roman"/>
                      <w:noProof/>
                      <w:color w:val="4E4B4C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2A3E"/>
                      <w:sz w:val="17"/>
                      <w:szCs w:val="17"/>
                    </w:rPr>
                    <w:t>Email </w:t>
                  </w:r>
                  <w:hyperlink r:id="rId8" w:history="1">
                    <w:r>
                      <w:rPr>
                        <w:rStyle w:val="Hyperlink"/>
                        <w:rFonts w:ascii="Verdana" w:eastAsia="Times New Roman" w:hAnsi="Verdana" w:cs="Times New Roman"/>
                        <w:noProof/>
                        <w:color w:val="4E4B4C"/>
                        <w:sz w:val="17"/>
                        <w:szCs w:val="17"/>
                      </w:rPr>
                      <w:t>mike@staycvr.com </w:t>
                    </w:r>
                  </w:hyperlink>
                </w:p>
              </w:tc>
            </w:tr>
          </w:tbl>
          <w:p w:rsidR="00163D39" w:rsidRDefault="00163D39">
            <w:pPr>
              <w:rPr>
                <w:rFonts w:ascii="Times New Roman" w:eastAsia="Times New Roman" w:hAnsi="Times New Roman" w:cs="Times New Roman"/>
                <w:noProof/>
                <w:vanish/>
                <w:sz w:val="24"/>
                <w:szCs w:val="24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0"/>
            </w:tblGrid>
            <w:tr w:rsidR="00163D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63D39" w:rsidRDefault="00163D39">
                  <w:pPr>
                    <w:rPr>
                      <w:rFonts w:ascii="Verdana" w:eastAsia="Times New Roman" w:hAnsi="Verdana" w:cs="Times New Roman"/>
                      <w:noProof/>
                      <w:color w:val="4E4B4C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2A3E"/>
                      <w:sz w:val="17"/>
                      <w:szCs w:val="17"/>
                    </w:rPr>
                    <w:t>Website </w:t>
                  </w:r>
                  <w:hyperlink r:id="rId9" w:history="1">
                    <w:r>
                      <w:rPr>
                        <w:rStyle w:val="Hyperlink"/>
                        <w:rFonts w:ascii="Verdana" w:eastAsia="Times New Roman" w:hAnsi="Verdana" w:cs="Times New Roman"/>
                        <w:noProof/>
                        <w:color w:val="0000FF"/>
                        <w:sz w:val="17"/>
                        <w:szCs w:val="17"/>
                      </w:rPr>
                      <w:t>www.cascadevacationrentals.com </w:t>
                    </w:r>
                  </w:hyperlink>
                </w:p>
                <w:p w:rsidR="00163D39" w:rsidRDefault="00163D39">
                  <w:pPr>
                    <w:rPr>
                      <w:rFonts w:ascii="Verdana" w:eastAsia="Times New Roman" w:hAnsi="Verdana" w:cs="Times New Roman"/>
                      <w:noProof/>
                      <w:color w:val="4E4B4C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4E4B4C"/>
                      <w:sz w:val="17"/>
                      <w:szCs w:val="17"/>
                    </w:rPr>
                    <w:t xml:space="preserve">             </w:t>
                  </w:r>
                  <w:hyperlink r:id="rId10" w:history="1">
                    <w:r>
                      <w:rPr>
                        <w:rStyle w:val="Hyperlink"/>
                        <w:rFonts w:ascii="Verdana" w:eastAsia="Times New Roman" w:hAnsi="Verdana" w:cs="Times New Roman"/>
                        <w:noProof/>
                        <w:color w:val="0000FF"/>
                        <w:sz w:val="17"/>
                        <w:szCs w:val="17"/>
                      </w:rPr>
                      <w:t>www.lutsenrealestategroup.com</w:t>
                    </w:r>
                  </w:hyperlink>
                </w:p>
              </w:tc>
            </w:tr>
          </w:tbl>
          <w:p w:rsidR="00163D39" w:rsidRDefault="00163D39">
            <w:pPr>
              <w:rPr>
                <w:rFonts w:eastAsiaTheme="minorEastAsia" w:cs="Times New Roman"/>
                <w:noProof/>
              </w:rPr>
            </w:pPr>
          </w:p>
        </w:tc>
      </w:tr>
    </w:tbl>
    <w:p w:rsidR="00325668" w:rsidRDefault="00325668" w:rsidP="00325668">
      <w:pPr>
        <w:rPr>
          <w:sz w:val="24"/>
          <w:szCs w:val="24"/>
        </w:rPr>
      </w:pPr>
    </w:p>
    <w:p w:rsidR="00163D39" w:rsidRPr="00325668" w:rsidRDefault="00163D39" w:rsidP="00325668">
      <w:pPr>
        <w:rPr>
          <w:sz w:val="24"/>
          <w:szCs w:val="24"/>
        </w:rPr>
      </w:pPr>
    </w:p>
    <w:sectPr w:rsidR="00163D39" w:rsidRPr="00325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DA2"/>
    <w:multiLevelType w:val="hybridMultilevel"/>
    <w:tmpl w:val="5AFC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3C77"/>
    <w:multiLevelType w:val="hybridMultilevel"/>
    <w:tmpl w:val="BF3E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637CF"/>
    <w:multiLevelType w:val="hybridMultilevel"/>
    <w:tmpl w:val="656095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422AF"/>
    <w:multiLevelType w:val="hybridMultilevel"/>
    <w:tmpl w:val="8E7C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A0AED"/>
    <w:multiLevelType w:val="hybridMultilevel"/>
    <w:tmpl w:val="C072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D6D20"/>
    <w:multiLevelType w:val="hybridMultilevel"/>
    <w:tmpl w:val="5F8C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A4908"/>
    <w:multiLevelType w:val="hybridMultilevel"/>
    <w:tmpl w:val="D79E75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234346"/>
    <w:multiLevelType w:val="hybridMultilevel"/>
    <w:tmpl w:val="4156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FF"/>
    <w:rsid w:val="001541B5"/>
    <w:rsid w:val="00163D39"/>
    <w:rsid w:val="001C7D2C"/>
    <w:rsid w:val="001F52E4"/>
    <w:rsid w:val="00256B24"/>
    <w:rsid w:val="002A62E5"/>
    <w:rsid w:val="002A6F3A"/>
    <w:rsid w:val="002B1D99"/>
    <w:rsid w:val="003125F7"/>
    <w:rsid w:val="00325668"/>
    <w:rsid w:val="00356C3A"/>
    <w:rsid w:val="004B250F"/>
    <w:rsid w:val="005E3E46"/>
    <w:rsid w:val="0061583B"/>
    <w:rsid w:val="00682855"/>
    <w:rsid w:val="006D52BD"/>
    <w:rsid w:val="006F3E61"/>
    <w:rsid w:val="00705AC2"/>
    <w:rsid w:val="007317C7"/>
    <w:rsid w:val="0074244C"/>
    <w:rsid w:val="0082394C"/>
    <w:rsid w:val="008937CD"/>
    <w:rsid w:val="008F0707"/>
    <w:rsid w:val="008F5AC5"/>
    <w:rsid w:val="00917238"/>
    <w:rsid w:val="0094579E"/>
    <w:rsid w:val="00986483"/>
    <w:rsid w:val="009A75FF"/>
    <w:rsid w:val="00AD6EAD"/>
    <w:rsid w:val="00BA4659"/>
    <w:rsid w:val="00BC35A2"/>
    <w:rsid w:val="00C06D39"/>
    <w:rsid w:val="00C1001E"/>
    <w:rsid w:val="00C45789"/>
    <w:rsid w:val="00D37D49"/>
    <w:rsid w:val="00D95E9A"/>
    <w:rsid w:val="00EA6364"/>
    <w:rsid w:val="00EF2605"/>
    <w:rsid w:val="00F635C2"/>
    <w:rsid w:val="00FD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4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A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D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4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A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D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staycv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(218)%20663-7971%20Ext.%20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nts-eastern-superior@usda.go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utsenrealestate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scadevacationrentals.com&#16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Larson</dc:creator>
  <cp:lastModifiedBy>Mike Larson</cp:lastModifiedBy>
  <cp:revision>2</cp:revision>
  <cp:lastPrinted>2020-05-25T16:38:00Z</cp:lastPrinted>
  <dcterms:created xsi:type="dcterms:W3CDTF">2020-05-28T17:30:00Z</dcterms:created>
  <dcterms:modified xsi:type="dcterms:W3CDTF">2020-05-28T17:30:00Z</dcterms:modified>
</cp:coreProperties>
</file>