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190" w:rsidRDefault="009C09E4">
      <w:pPr>
        <w:spacing w:before="42" w:line="246" w:lineRule="exact"/>
        <w:textAlignment w:val="baseline"/>
        <w:rPr>
          <w:rFonts w:ascii="Calibri" w:eastAsia="Calibri" w:hAnsi="Calibri"/>
          <w:color w:val="000000"/>
          <w:spacing w:val="-5"/>
          <w:sz w:val="25"/>
        </w:rPr>
      </w:pPr>
      <w:r>
        <w:rPr>
          <w:rFonts w:ascii="Calibri" w:eastAsia="Calibri" w:hAnsi="Calibri"/>
          <w:color w:val="000000"/>
          <w:spacing w:val="-5"/>
          <w:sz w:val="25"/>
        </w:rPr>
        <w:t>December 16, 2019</w:t>
      </w:r>
    </w:p>
    <w:p w:rsidR="008D2190" w:rsidRDefault="009C09E4">
      <w:pPr>
        <w:spacing w:before="637" w:line="246" w:lineRule="exact"/>
        <w:textAlignment w:val="baseline"/>
        <w:rPr>
          <w:rFonts w:ascii="Calibri" w:eastAsia="Calibri" w:hAnsi="Calibri"/>
          <w:color w:val="000000"/>
          <w:spacing w:val="-4"/>
          <w:sz w:val="25"/>
        </w:rPr>
      </w:pPr>
      <w:r>
        <w:rPr>
          <w:rFonts w:ascii="Calibri" w:eastAsia="Calibri" w:hAnsi="Calibri"/>
          <w:color w:val="000000"/>
          <w:spacing w:val="-4"/>
          <w:sz w:val="25"/>
        </w:rPr>
        <w:t>Alaska Roadless Rule</w:t>
      </w:r>
    </w:p>
    <w:p w:rsidR="008D2190" w:rsidRDefault="009C09E4">
      <w:pPr>
        <w:spacing w:before="47" w:line="247" w:lineRule="exact"/>
        <w:textAlignment w:val="baseline"/>
        <w:rPr>
          <w:rFonts w:ascii="Calibri" w:eastAsia="Calibri" w:hAnsi="Calibri"/>
          <w:color w:val="000000"/>
          <w:spacing w:val="-4"/>
          <w:sz w:val="25"/>
        </w:rPr>
      </w:pPr>
      <w:r>
        <w:rPr>
          <w:rFonts w:ascii="Calibri" w:eastAsia="Calibri" w:hAnsi="Calibri"/>
          <w:color w:val="000000"/>
          <w:spacing w:val="-4"/>
          <w:sz w:val="25"/>
        </w:rPr>
        <w:t>USDA Forest Service, Alaska Region</w:t>
      </w:r>
    </w:p>
    <w:p w:rsidR="008D2190" w:rsidRDefault="009C09E4">
      <w:pPr>
        <w:spacing w:before="45" w:line="248" w:lineRule="exact"/>
        <w:textAlignment w:val="baseline"/>
        <w:rPr>
          <w:rFonts w:ascii="Calibri" w:eastAsia="Calibri" w:hAnsi="Calibri"/>
          <w:color w:val="000000"/>
          <w:spacing w:val="-4"/>
          <w:sz w:val="25"/>
        </w:rPr>
      </w:pPr>
      <w:r>
        <w:rPr>
          <w:rFonts w:ascii="Calibri" w:eastAsia="Calibri" w:hAnsi="Calibri"/>
          <w:color w:val="000000"/>
          <w:spacing w:val="-4"/>
          <w:sz w:val="25"/>
        </w:rPr>
        <w:t>Ecosystem Planning and Budget Staff</w:t>
      </w:r>
    </w:p>
    <w:p w:rsidR="008D2190" w:rsidRDefault="009C09E4">
      <w:pPr>
        <w:spacing w:before="45" w:line="246" w:lineRule="exact"/>
        <w:textAlignment w:val="baseline"/>
        <w:rPr>
          <w:rFonts w:ascii="Calibri" w:eastAsia="Calibri" w:hAnsi="Calibri"/>
          <w:color w:val="000000"/>
          <w:spacing w:val="-5"/>
          <w:sz w:val="25"/>
        </w:rPr>
      </w:pPr>
      <w:r>
        <w:rPr>
          <w:rFonts w:ascii="Calibri" w:eastAsia="Calibri" w:hAnsi="Calibri"/>
          <w:color w:val="000000"/>
          <w:spacing w:val="-5"/>
          <w:sz w:val="25"/>
        </w:rPr>
        <w:t>P.O. Box 21628</w:t>
      </w:r>
    </w:p>
    <w:p w:rsidR="008D2190" w:rsidRDefault="009C09E4">
      <w:pPr>
        <w:spacing w:before="47" w:line="246" w:lineRule="exact"/>
        <w:textAlignment w:val="baseline"/>
        <w:rPr>
          <w:rFonts w:ascii="Calibri" w:eastAsia="Calibri" w:hAnsi="Calibri"/>
          <w:color w:val="000000"/>
          <w:spacing w:val="-4"/>
          <w:sz w:val="25"/>
        </w:rPr>
      </w:pPr>
      <w:r>
        <w:rPr>
          <w:rFonts w:ascii="Calibri" w:eastAsia="Calibri" w:hAnsi="Calibri"/>
          <w:color w:val="000000"/>
          <w:spacing w:val="-4"/>
          <w:sz w:val="25"/>
        </w:rPr>
        <w:t>Juneau, Alaska 99802–1628</w:t>
      </w:r>
    </w:p>
    <w:p w:rsidR="008D2190" w:rsidRDefault="009C09E4">
      <w:pPr>
        <w:spacing w:before="298" w:line="292" w:lineRule="exact"/>
        <w:jc w:val="both"/>
        <w:textAlignment w:val="baseline"/>
        <w:rPr>
          <w:rFonts w:ascii="Calibri" w:eastAsia="Calibri" w:hAnsi="Calibri"/>
          <w:color w:val="000000"/>
          <w:sz w:val="25"/>
        </w:rPr>
      </w:pPr>
      <w:r>
        <w:rPr>
          <w:rFonts w:ascii="Calibri" w:eastAsia="Calibri" w:hAnsi="Calibri"/>
          <w:color w:val="000000"/>
          <w:sz w:val="25"/>
        </w:rPr>
        <w:t xml:space="preserve">As a citizen of Southeast Alaska surrounded by the </w:t>
      </w:r>
      <w:proofErr w:type="spellStart"/>
      <w:r>
        <w:rPr>
          <w:rFonts w:ascii="Calibri" w:eastAsia="Calibri" w:hAnsi="Calibri"/>
          <w:color w:val="000000"/>
          <w:sz w:val="25"/>
        </w:rPr>
        <w:t>Tongass</w:t>
      </w:r>
      <w:proofErr w:type="spellEnd"/>
      <w:r>
        <w:rPr>
          <w:rFonts w:ascii="Calibri" w:eastAsia="Calibri" w:hAnsi="Calibri"/>
          <w:color w:val="000000"/>
          <w:sz w:val="25"/>
        </w:rPr>
        <w:t xml:space="preserve"> National Forest, it is important to me to see the forest managed in a way that benefits communities and commerce in the region. I believe it is in the nation’s best interest to have healthy communi</w:t>
      </w:r>
      <w:r>
        <w:rPr>
          <w:rFonts w:ascii="Calibri" w:eastAsia="Calibri" w:hAnsi="Calibri"/>
          <w:color w:val="000000"/>
          <w:sz w:val="25"/>
        </w:rPr>
        <w:t>ties and a quality environment. Unfortunately, inflexible “cookie-cutter” policies, such as the Roadless Rule too often have negative impacts, even if well-intentioned.</w:t>
      </w:r>
    </w:p>
    <w:p w:rsidR="008D2190" w:rsidRDefault="009C09E4">
      <w:pPr>
        <w:spacing w:before="296" w:line="292" w:lineRule="exact"/>
        <w:jc w:val="both"/>
        <w:textAlignment w:val="baseline"/>
        <w:rPr>
          <w:rFonts w:ascii="Calibri" w:eastAsia="Calibri" w:hAnsi="Calibri"/>
          <w:color w:val="000000"/>
          <w:spacing w:val="-6"/>
          <w:sz w:val="25"/>
        </w:rPr>
      </w:pPr>
      <w:r>
        <w:rPr>
          <w:rFonts w:ascii="Calibri" w:eastAsia="Calibri" w:hAnsi="Calibri"/>
          <w:color w:val="000000"/>
          <w:spacing w:val="-6"/>
          <w:sz w:val="25"/>
        </w:rPr>
        <w:t>I was a member of the Citizens Advisory Committee (CAC) and worked with my colleagues t</w:t>
      </w:r>
      <w:r>
        <w:rPr>
          <w:rFonts w:ascii="Calibri" w:eastAsia="Calibri" w:hAnsi="Calibri"/>
          <w:color w:val="000000"/>
          <w:spacing w:val="-6"/>
          <w:sz w:val="25"/>
        </w:rPr>
        <w:t xml:space="preserve">o develop exceptions to the Roadless Rule that should be included in </w:t>
      </w:r>
      <w:r>
        <w:rPr>
          <w:rFonts w:ascii="Calibri" w:eastAsia="Calibri" w:hAnsi="Calibri"/>
          <w:b/>
          <w:i/>
          <w:color w:val="000000"/>
          <w:spacing w:val="-6"/>
          <w:sz w:val="24"/>
        </w:rPr>
        <w:t xml:space="preserve">each </w:t>
      </w:r>
      <w:r>
        <w:rPr>
          <w:rFonts w:ascii="Calibri" w:eastAsia="Calibri" w:hAnsi="Calibri"/>
          <w:color w:val="000000"/>
          <w:spacing w:val="-6"/>
          <w:sz w:val="25"/>
        </w:rPr>
        <w:t>alternative (2 – 5) in the DEIS (other than the “No Action” alternative). The list of exceptions serves as an integral part of each of the four options. While the land base options v</w:t>
      </w:r>
      <w:r>
        <w:rPr>
          <w:rFonts w:ascii="Calibri" w:eastAsia="Calibri" w:hAnsi="Calibri"/>
          <w:color w:val="000000"/>
          <w:spacing w:val="-6"/>
          <w:sz w:val="25"/>
        </w:rPr>
        <w:t xml:space="preserve">ary, the Committee members unanimously agreed to include the Roadless Area exceptions for analysis </w:t>
      </w:r>
      <w:r>
        <w:rPr>
          <w:rFonts w:ascii="Calibri" w:eastAsia="Calibri" w:hAnsi="Calibri"/>
          <w:b/>
          <w:color w:val="000000"/>
          <w:spacing w:val="-6"/>
          <w:sz w:val="24"/>
        </w:rPr>
        <w:t xml:space="preserve">in </w:t>
      </w:r>
      <w:proofErr w:type="gramStart"/>
      <w:r>
        <w:rPr>
          <w:rFonts w:ascii="Calibri" w:eastAsia="Calibri" w:hAnsi="Calibri"/>
          <w:b/>
          <w:color w:val="000000"/>
          <w:spacing w:val="-6"/>
          <w:sz w:val="24"/>
        </w:rPr>
        <w:t>all of</w:t>
      </w:r>
      <w:proofErr w:type="gramEnd"/>
      <w:r>
        <w:rPr>
          <w:rFonts w:ascii="Calibri" w:eastAsia="Calibri" w:hAnsi="Calibri"/>
          <w:b/>
          <w:color w:val="000000"/>
          <w:spacing w:val="-6"/>
          <w:sz w:val="24"/>
        </w:rPr>
        <w:t xml:space="preserve"> the options put forward by the Committee</w:t>
      </w:r>
      <w:r>
        <w:rPr>
          <w:rFonts w:ascii="Calibri" w:eastAsia="Calibri" w:hAnsi="Calibri"/>
          <w:color w:val="000000"/>
          <w:spacing w:val="-6"/>
          <w:sz w:val="25"/>
        </w:rPr>
        <w:t>.</w:t>
      </w:r>
    </w:p>
    <w:p w:rsidR="008D2190" w:rsidRDefault="009C09E4">
      <w:pPr>
        <w:spacing w:before="306" w:line="292" w:lineRule="exact"/>
        <w:jc w:val="both"/>
        <w:textAlignment w:val="baseline"/>
        <w:rPr>
          <w:rFonts w:ascii="Calibri" w:eastAsia="Calibri" w:hAnsi="Calibri"/>
          <w:color w:val="000000"/>
          <w:spacing w:val="-6"/>
          <w:sz w:val="25"/>
        </w:rPr>
      </w:pPr>
      <w:r>
        <w:rPr>
          <w:rFonts w:ascii="Calibri" w:eastAsia="Calibri" w:hAnsi="Calibri"/>
          <w:color w:val="000000"/>
          <w:spacing w:val="-6"/>
          <w:sz w:val="25"/>
        </w:rPr>
        <w:t xml:space="preserve">However, the CAC exception language that the State provided to the USDA along with the exceptions listed </w:t>
      </w:r>
      <w:r>
        <w:rPr>
          <w:rFonts w:ascii="Calibri" w:eastAsia="Calibri" w:hAnsi="Calibri"/>
          <w:color w:val="000000"/>
          <w:spacing w:val="-6"/>
          <w:sz w:val="25"/>
        </w:rPr>
        <w:t xml:space="preserve">was not included in </w:t>
      </w:r>
      <w:r>
        <w:rPr>
          <w:rFonts w:ascii="Calibri" w:eastAsia="Calibri" w:hAnsi="Calibri"/>
          <w:b/>
          <w:i/>
          <w:color w:val="000000"/>
          <w:spacing w:val="-6"/>
          <w:sz w:val="24"/>
        </w:rPr>
        <w:t xml:space="preserve">any </w:t>
      </w:r>
      <w:r>
        <w:rPr>
          <w:rFonts w:ascii="Calibri" w:eastAsia="Calibri" w:hAnsi="Calibri"/>
          <w:color w:val="000000"/>
          <w:spacing w:val="-6"/>
          <w:sz w:val="25"/>
        </w:rPr>
        <w:t>alternative. (See Appendix G, alternatives 2 - 5). Each road exception is preceded by the words “</w:t>
      </w:r>
      <w:r>
        <w:rPr>
          <w:rFonts w:ascii="Calibri" w:eastAsia="Calibri" w:hAnsi="Calibri"/>
          <w:b/>
          <w:color w:val="000000"/>
          <w:spacing w:val="-6"/>
          <w:sz w:val="24"/>
        </w:rPr>
        <w:t xml:space="preserve">if the Responsible Official determines that ... a road is needed,” </w:t>
      </w:r>
      <w:r>
        <w:rPr>
          <w:rFonts w:ascii="Calibri" w:eastAsia="Calibri" w:hAnsi="Calibri"/>
          <w:color w:val="000000"/>
          <w:spacing w:val="-6"/>
          <w:sz w:val="25"/>
        </w:rPr>
        <w:t xml:space="preserve">thereby leaving it up to the Forest Service to make the determination about whether a road is needed without any criteria for doing so. This is the existing situation already covered by the “No Action” alternative. It is exactly the situation to which the </w:t>
      </w:r>
      <w:r>
        <w:rPr>
          <w:rFonts w:ascii="Calibri" w:eastAsia="Calibri" w:hAnsi="Calibri"/>
          <w:color w:val="000000"/>
          <w:spacing w:val="-6"/>
          <w:sz w:val="25"/>
        </w:rPr>
        <w:t>CAC recommendations were intended to provide regulatory certainty and predictability. Accordingly, the relief from the Roadless Rule access prohibitions that the CAC exceptions listed were intended to provide for communities, renewable energy, and mining i</w:t>
      </w:r>
      <w:r>
        <w:rPr>
          <w:rFonts w:ascii="Calibri" w:eastAsia="Calibri" w:hAnsi="Calibri"/>
          <w:color w:val="000000"/>
          <w:spacing w:val="-6"/>
          <w:sz w:val="25"/>
        </w:rPr>
        <w:t>s only provided by the Total Exemption alternative.</w:t>
      </w:r>
    </w:p>
    <w:p w:rsidR="008D2190" w:rsidRDefault="009C09E4">
      <w:pPr>
        <w:spacing w:before="296" w:line="292" w:lineRule="exact"/>
        <w:jc w:val="both"/>
        <w:textAlignment w:val="baseline"/>
        <w:rPr>
          <w:rFonts w:ascii="Calibri" w:eastAsia="Calibri" w:hAnsi="Calibri"/>
          <w:color w:val="000000"/>
          <w:sz w:val="25"/>
        </w:rPr>
      </w:pPr>
      <w:r>
        <w:rPr>
          <w:rFonts w:ascii="Calibri" w:eastAsia="Calibri" w:hAnsi="Calibri"/>
          <w:color w:val="000000"/>
          <w:sz w:val="25"/>
        </w:rPr>
        <w:t>If ever there is to be restored trust in government and a DEIS/EIS product that is responsive to the input provided by citizens AND the State of Alaska, please include the Citizens Advisory Committee’s ex</w:t>
      </w:r>
      <w:r>
        <w:rPr>
          <w:rFonts w:ascii="Calibri" w:eastAsia="Calibri" w:hAnsi="Calibri"/>
          <w:color w:val="000000"/>
          <w:sz w:val="25"/>
        </w:rPr>
        <w:t>ception language, as written, in alternatives 2-5 (or at least some of the alternatives).</w:t>
      </w:r>
    </w:p>
    <w:p w:rsidR="008D2190" w:rsidRDefault="009C09E4">
      <w:pPr>
        <w:spacing w:before="339" w:line="247" w:lineRule="exact"/>
        <w:textAlignment w:val="baseline"/>
        <w:rPr>
          <w:rFonts w:ascii="Calibri" w:eastAsia="Calibri" w:hAnsi="Calibri"/>
          <w:color w:val="000000"/>
          <w:spacing w:val="-4"/>
          <w:sz w:val="25"/>
        </w:rPr>
      </w:pPr>
      <w:r>
        <w:rPr>
          <w:rFonts w:ascii="Calibri" w:eastAsia="Calibri" w:hAnsi="Calibri"/>
          <w:color w:val="000000"/>
          <w:spacing w:val="-4"/>
          <w:sz w:val="25"/>
        </w:rPr>
        <w:t>Thank you for the opportunity to comment.</w:t>
      </w:r>
    </w:p>
    <w:p w:rsidR="008D2190" w:rsidRDefault="009C09E4">
      <w:pPr>
        <w:spacing w:before="291" w:line="293" w:lineRule="exact"/>
        <w:textAlignment w:val="baseline"/>
        <w:rPr>
          <w:rFonts w:ascii="Calibri" w:eastAsia="Calibri" w:hAnsi="Calibri"/>
          <w:color w:val="000000"/>
          <w:sz w:val="25"/>
        </w:rPr>
      </w:pPr>
      <w:r>
        <w:rPr>
          <w:rFonts w:ascii="Calibri" w:eastAsia="Calibri" w:hAnsi="Calibri"/>
          <w:color w:val="000000"/>
          <w:sz w:val="25"/>
        </w:rPr>
        <w:t xml:space="preserve">Robert Venables </w:t>
      </w:r>
      <w:r>
        <w:rPr>
          <w:rFonts w:ascii="Calibri" w:eastAsia="Calibri" w:hAnsi="Calibri"/>
          <w:color w:val="000000"/>
          <w:sz w:val="25"/>
        </w:rPr>
        <w:br/>
      </w:r>
      <w:bookmarkStart w:id="0" w:name="_GoBack"/>
      <w:bookmarkEnd w:id="0"/>
      <w:r>
        <w:rPr>
          <w:rFonts w:ascii="Calibri" w:eastAsia="Calibri" w:hAnsi="Calibri"/>
          <w:color w:val="000000"/>
          <w:sz w:val="25"/>
        </w:rPr>
        <w:t>Haines, AK 99827</w:t>
      </w:r>
    </w:p>
    <w:sectPr w:rsidR="008D2190">
      <w:pgSz w:w="12240" w:h="15840"/>
      <w:pgMar w:top="1420" w:right="1420" w:bottom="1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8D2190"/>
    <w:rsid w:val="008D2190"/>
    <w:rsid w:val="009C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0794"/>
  <w15:docId w15:val="{089B8D10-33D4-47E7-A536-B034B5B3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Buzzeo, Rachel</cp:lastModifiedBy>
  <cp:revision>2</cp:revision>
  <dcterms:created xsi:type="dcterms:W3CDTF">2019-12-18T13:59:00Z</dcterms:created>
  <dcterms:modified xsi:type="dcterms:W3CDTF">2019-12-18T14:01:00Z</dcterms:modified>
</cp:coreProperties>
</file>