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7BD" w:rsidRDefault="00A7737C">
      <w:pPr>
        <w:spacing w:before="3" w:after="618"/>
        <w:ind w:right="1"/>
        <w:textAlignment w:val="baseline"/>
      </w:pPr>
      <w:r>
        <w:rPr>
          <w:noProof/>
        </w:rPr>
        <w:drawing>
          <wp:inline distT="0" distB="0" distL="0" distR="0">
            <wp:extent cx="3322320" cy="926465"/>
            <wp:effectExtent l="0" t="0" r="0" b="698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rotWithShape="1">
                    <a:blip r:embed="rId4"/>
                    <a:srcRect r="44216"/>
                    <a:stretch/>
                  </pic:blipFill>
                  <pic:spPr bwMode="auto">
                    <a:xfrm>
                      <a:off x="0" y="0"/>
                      <a:ext cx="3322320" cy="926465"/>
                    </a:xfrm>
                    <a:prstGeom prst="rect">
                      <a:avLst/>
                    </a:prstGeom>
                    <a:ln>
                      <a:noFill/>
                    </a:ln>
                    <a:extLst>
                      <a:ext uri="{53640926-AAD7-44D8-BBD7-CCE9431645EC}">
                        <a14:shadowObscured xmlns:a14="http://schemas.microsoft.com/office/drawing/2010/main"/>
                      </a:ext>
                    </a:extLst>
                  </pic:spPr>
                </pic:pic>
              </a:graphicData>
            </a:graphic>
          </wp:inline>
        </w:drawing>
      </w:r>
    </w:p>
    <w:p w:rsidR="008337BD" w:rsidRDefault="00A7737C">
      <w:pPr>
        <w:spacing w:before="27" w:line="265" w:lineRule="exact"/>
        <w:textAlignment w:val="baseline"/>
        <w:rPr>
          <w:rFonts w:eastAsia="Times New Roman"/>
          <w:color w:val="000000"/>
          <w:spacing w:val="2"/>
          <w:sz w:val="26"/>
        </w:rPr>
      </w:pPr>
      <w:bookmarkStart w:id="0" w:name="_GoBack"/>
      <w:r>
        <w:rPr>
          <w:rFonts w:eastAsia="Times New Roman"/>
          <w:color w:val="000000"/>
          <w:spacing w:val="2"/>
          <w:sz w:val="26"/>
        </w:rPr>
        <w:t>December 13, 2019</w:t>
      </w:r>
    </w:p>
    <w:p w:rsidR="008337BD" w:rsidRDefault="00A7737C">
      <w:pPr>
        <w:spacing w:before="335" w:line="265" w:lineRule="exact"/>
        <w:textAlignment w:val="baseline"/>
        <w:rPr>
          <w:rFonts w:eastAsia="Times New Roman"/>
          <w:color w:val="000000"/>
          <w:spacing w:val="6"/>
          <w:sz w:val="26"/>
        </w:rPr>
      </w:pPr>
      <w:r>
        <w:rPr>
          <w:rFonts w:eastAsia="Times New Roman"/>
          <w:color w:val="000000"/>
          <w:spacing w:val="6"/>
          <w:sz w:val="26"/>
        </w:rPr>
        <w:t>Ken Tu, Interdisciplinary Team Leader</w:t>
      </w:r>
    </w:p>
    <w:p w:rsidR="008337BD" w:rsidRDefault="00A7737C">
      <w:pPr>
        <w:spacing w:before="37" w:line="265" w:lineRule="exact"/>
        <w:textAlignment w:val="baseline"/>
        <w:rPr>
          <w:rFonts w:eastAsia="Times New Roman"/>
          <w:color w:val="000000"/>
          <w:spacing w:val="3"/>
          <w:sz w:val="26"/>
        </w:rPr>
      </w:pPr>
      <w:r>
        <w:rPr>
          <w:rFonts w:eastAsia="Times New Roman"/>
          <w:color w:val="000000"/>
          <w:spacing w:val="3"/>
          <w:sz w:val="26"/>
        </w:rPr>
        <w:t>Alaska Roadless Rule</w:t>
      </w:r>
    </w:p>
    <w:p w:rsidR="008337BD" w:rsidRDefault="00A7737C">
      <w:pPr>
        <w:spacing w:before="33" w:line="265" w:lineRule="exact"/>
        <w:textAlignment w:val="baseline"/>
        <w:rPr>
          <w:rFonts w:eastAsia="Times New Roman"/>
          <w:color w:val="000000"/>
          <w:spacing w:val="1"/>
          <w:sz w:val="26"/>
        </w:rPr>
      </w:pPr>
      <w:r>
        <w:rPr>
          <w:rFonts w:eastAsia="Times New Roman"/>
          <w:color w:val="000000"/>
          <w:spacing w:val="1"/>
          <w:sz w:val="26"/>
        </w:rPr>
        <w:t>USDA Forest Service</w:t>
      </w:r>
    </w:p>
    <w:p w:rsidR="008337BD" w:rsidRDefault="00A7737C">
      <w:pPr>
        <w:spacing w:before="37" w:line="265" w:lineRule="exact"/>
        <w:textAlignment w:val="baseline"/>
        <w:rPr>
          <w:rFonts w:eastAsia="Times New Roman"/>
          <w:color w:val="000000"/>
          <w:spacing w:val="-1"/>
          <w:sz w:val="26"/>
        </w:rPr>
      </w:pPr>
      <w:r>
        <w:rPr>
          <w:rFonts w:eastAsia="Times New Roman"/>
          <w:color w:val="000000"/>
          <w:spacing w:val="-1"/>
          <w:sz w:val="26"/>
        </w:rPr>
        <w:t>P.O. Box 21628</w:t>
      </w:r>
    </w:p>
    <w:p w:rsidR="008337BD" w:rsidRDefault="00A7737C">
      <w:pPr>
        <w:spacing w:before="33" w:line="265" w:lineRule="exact"/>
        <w:textAlignment w:val="baseline"/>
        <w:rPr>
          <w:rFonts w:eastAsia="Times New Roman"/>
          <w:color w:val="000000"/>
          <w:spacing w:val="5"/>
          <w:sz w:val="26"/>
        </w:rPr>
      </w:pPr>
      <w:r>
        <w:rPr>
          <w:rFonts w:eastAsia="Times New Roman"/>
          <w:color w:val="000000"/>
          <w:spacing w:val="5"/>
          <w:sz w:val="26"/>
        </w:rPr>
        <w:t>Juneau, AK 99802</w:t>
      </w:r>
    </w:p>
    <w:p w:rsidR="008337BD" w:rsidRDefault="00A7737C">
      <w:pPr>
        <w:spacing w:before="637" w:line="265" w:lineRule="exact"/>
        <w:textAlignment w:val="baseline"/>
        <w:rPr>
          <w:rFonts w:eastAsia="Times New Roman"/>
          <w:color w:val="000000"/>
          <w:spacing w:val="1"/>
          <w:sz w:val="26"/>
        </w:rPr>
      </w:pPr>
      <w:r>
        <w:rPr>
          <w:rFonts w:eastAsia="Times New Roman"/>
          <w:color w:val="000000"/>
          <w:spacing w:val="1"/>
          <w:sz w:val="26"/>
        </w:rPr>
        <w:t>Dear Mr. Ken Tu:</w:t>
      </w:r>
    </w:p>
    <w:p w:rsidR="008337BD" w:rsidRDefault="00A7737C">
      <w:pPr>
        <w:spacing w:before="276" w:line="324" w:lineRule="exact"/>
        <w:ind w:right="216"/>
        <w:textAlignment w:val="baseline"/>
        <w:rPr>
          <w:rFonts w:eastAsia="Times New Roman"/>
          <w:color w:val="000000"/>
          <w:spacing w:val="7"/>
          <w:sz w:val="26"/>
        </w:rPr>
      </w:pPr>
      <w:r>
        <w:rPr>
          <w:rFonts w:eastAsia="Times New Roman"/>
          <w:color w:val="000000"/>
          <w:spacing w:val="7"/>
          <w:sz w:val="26"/>
        </w:rPr>
        <w:t>On behalf of Conservatives for Responsible Stewardship (CRS), a national grassroots organization of stewardship-minded conservatives, and its more than 14,000 members, I write to urge the U.S. Forest Service (USFS) to choose the “no action” alternative for</w:t>
      </w:r>
      <w:r>
        <w:rPr>
          <w:rFonts w:eastAsia="Times New Roman"/>
          <w:color w:val="000000"/>
          <w:spacing w:val="7"/>
          <w:sz w:val="26"/>
        </w:rPr>
        <w:t xml:space="preserve"> the Draft Environmental Impact Statement (DEIS) and the proposed Alaska Roadless Rule (Alternative #1). Keeping the Roadless Area Conservation Rule (Roadless Rule) in place in Alaska will protect taxpayers from uneconomical and heavily subsided logging ac</w:t>
      </w:r>
      <w:r>
        <w:rPr>
          <w:rFonts w:eastAsia="Times New Roman"/>
          <w:color w:val="000000"/>
          <w:spacing w:val="7"/>
          <w:sz w:val="26"/>
        </w:rPr>
        <w:t>tivities and road construction.</w:t>
      </w:r>
    </w:p>
    <w:p w:rsidR="008337BD" w:rsidRDefault="00A7737C">
      <w:pPr>
        <w:spacing w:before="165" w:line="323" w:lineRule="exact"/>
        <w:ind w:right="72"/>
        <w:textAlignment w:val="baseline"/>
        <w:rPr>
          <w:rFonts w:eastAsia="Times New Roman"/>
          <w:color w:val="000000"/>
          <w:spacing w:val="8"/>
          <w:sz w:val="26"/>
        </w:rPr>
      </w:pPr>
      <w:r>
        <w:rPr>
          <w:rFonts w:eastAsia="Times New Roman"/>
          <w:color w:val="000000"/>
          <w:spacing w:val="8"/>
          <w:sz w:val="26"/>
        </w:rPr>
        <w:t xml:space="preserve">As a taxpayer funded boondoggle, logging in </w:t>
      </w:r>
      <w:proofErr w:type="spellStart"/>
      <w:r>
        <w:rPr>
          <w:rFonts w:eastAsia="Times New Roman"/>
          <w:color w:val="000000"/>
          <w:spacing w:val="8"/>
          <w:sz w:val="26"/>
        </w:rPr>
        <w:t>Tongass</w:t>
      </w:r>
      <w:proofErr w:type="spellEnd"/>
      <w:r>
        <w:rPr>
          <w:rFonts w:eastAsia="Times New Roman"/>
          <w:color w:val="000000"/>
          <w:spacing w:val="8"/>
          <w:sz w:val="26"/>
        </w:rPr>
        <w:t xml:space="preserve"> National Forest is worse than Solyndra. A recent report from Taxpayers for Common Sense found that timber sales on the </w:t>
      </w:r>
      <w:proofErr w:type="spellStart"/>
      <w:r>
        <w:rPr>
          <w:rFonts w:eastAsia="Times New Roman"/>
          <w:color w:val="000000"/>
          <w:spacing w:val="8"/>
          <w:sz w:val="26"/>
        </w:rPr>
        <w:t>Tongass</w:t>
      </w:r>
      <w:proofErr w:type="spellEnd"/>
      <w:r>
        <w:rPr>
          <w:rFonts w:eastAsia="Times New Roman"/>
          <w:color w:val="000000"/>
          <w:spacing w:val="8"/>
          <w:sz w:val="26"/>
        </w:rPr>
        <w:t xml:space="preserve"> have cost the American taxpayers roughly $600</w:t>
      </w:r>
      <w:r>
        <w:rPr>
          <w:rFonts w:eastAsia="Times New Roman"/>
          <w:color w:val="000000"/>
          <w:spacing w:val="8"/>
          <w:sz w:val="26"/>
        </w:rPr>
        <w:t xml:space="preserve"> million since 1999, or $30 million per year on average in 2018 dollars—and that is with the Roadless Rule in place.</w:t>
      </w:r>
      <w:r>
        <w:rPr>
          <w:rFonts w:ascii="Arial" w:eastAsia="Arial" w:hAnsi="Arial"/>
          <w:i/>
          <w:color w:val="000000"/>
          <w:spacing w:val="8"/>
          <w:sz w:val="6"/>
        </w:rPr>
        <w:t>0F</w:t>
      </w:r>
      <w:r>
        <w:rPr>
          <w:rFonts w:eastAsia="Times New Roman"/>
          <w:color w:val="000000"/>
          <w:spacing w:val="8"/>
          <w:sz w:val="6"/>
          <w:vertAlign w:val="superscript"/>
        </w:rPr>
        <w:t>1</w:t>
      </w:r>
      <w:r>
        <w:rPr>
          <w:rFonts w:eastAsia="Times New Roman"/>
          <w:color w:val="000000"/>
          <w:spacing w:val="8"/>
          <w:sz w:val="26"/>
        </w:rPr>
        <w:t xml:space="preserve"> Weakening the Roadless Rule to prop up even more subsidized uneconomical logging activity would be a fiscal nightmare.</w:t>
      </w:r>
    </w:p>
    <w:p w:rsidR="008337BD" w:rsidRDefault="00A7737C">
      <w:pPr>
        <w:spacing w:before="162" w:line="323" w:lineRule="exact"/>
        <w:ind w:right="72"/>
        <w:textAlignment w:val="baseline"/>
        <w:rPr>
          <w:rFonts w:eastAsia="Times New Roman"/>
          <w:color w:val="000000"/>
          <w:sz w:val="26"/>
        </w:rPr>
      </w:pPr>
      <w:r>
        <w:rPr>
          <w:rFonts w:eastAsia="Times New Roman"/>
          <w:color w:val="000000"/>
          <w:sz w:val="26"/>
        </w:rPr>
        <w:t>Since its promulg</w:t>
      </w:r>
      <w:r>
        <w:rPr>
          <w:rFonts w:eastAsia="Times New Roman"/>
          <w:color w:val="000000"/>
          <w:sz w:val="26"/>
        </w:rPr>
        <w:t>ation in 2001, the Roadless Rule has limited wasteful and environmentally damaging roadbuilding and logging on millions of acres of Forest Service land across 38 states. Limitations on these activities have helped protect against taxpayer losses and conser</w:t>
      </w:r>
      <w:r>
        <w:rPr>
          <w:rFonts w:eastAsia="Times New Roman"/>
          <w:color w:val="000000"/>
          <w:sz w:val="26"/>
        </w:rPr>
        <w:t>ve high-value national forest lands.</w:t>
      </w:r>
    </w:p>
    <w:p w:rsidR="008337BD" w:rsidRDefault="00A7737C">
      <w:pPr>
        <w:spacing w:before="163" w:after="419" w:line="323" w:lineRule="exact"/>
        <w:ind w:right="72"/>
        <w:textAlignment w:val="baseline"/>
        <w:rPr>
          <w:rFonts w:eastAsia="Times New Roman"/>
          <w:color w:val="000000"/>
          <w:spacing w:val="6"/>
          <w:sz w:val="26"/>
        </w:rPr>
      </w:pPr>
      <w:r>
        <w:rPr>
          <w:rFonts w:eastAsia="Times New Roman"/>
          <w:color w:val="000000"/>
          <w:spacing w:val="6"/>
          <w:sz w:val="26"/>
        </w:rPr>
        <w:t>A key strength of the Roadless Rule is that while it protects some of America’s last remaining undeveloped national forests, it also provides flexibility for activities such as mechanized recreation, hydropower developm</w:t>
      </w:r>
      <w:r>
        <w:rPr>
          <w:rFonts w:eastAsia="Times New Roman"/>
          <w:color w:val="000000"/>
          <w:spacing w:val="6"/>
          <w:sz w:val="26"/>
        </w:rPr>
        <w:t>ent, mining operations and access roads, fire prevention and public safety, and the maintenance of</w:t>
      </w:r>
    </w:p>
    <w:p w:rsidR="008337BD" w:rsidRDefault="00A7737C">
      <w:pPr>
        <w:spacing w:before="120" w:line="231" w:lineRule="exact"/>
        <w:ind w:right="360"/>
        <w:textAlignment w:val="baseline"/>
        <w:rPr>
          <w:rFonts w:eastAsia="Times New Roman"/>
          <w:color w:val="000000"/>
          <w:sz w:val="13"/>
          <w:vertAlign w:val="superscript"/>
        </w:rPr>
      </w:pPr>
      <w:r>
        <w:pict>
          <v:line id="_x0000_s1027" style="position:absolute;z-index:251657216;mso-position-horizontal-relative:page;mso-position-vertical-relative:page" from="71.05pt,691.45pt" to="216.3pt,691.45pt" strokeweight=".7pt">
            <w10:wrap anchorx="page" anchory="page"/>
          </v:line>
        </w:pict>
      </w:r>
      <w:r>
        <w:rPr>
          <w:rFonts w:eastAsia="Times New Roman"/>
          <w:color w:val="000000"/>
          <w:sz w:val="13"/>
          <w:vertAlign w:val="superscript"/>
        </w:rPr>
        <w:t>1</w:t>
      </w:r>
      <w:r>
        <w:rPr>
          <w:rFonts w:eastAsia="Times New Roman"/>
          <w:color w:val="000000"/>
          <w:sz w:val="20"/>
        </w:rPr>
        <w:t xml:space="preserve"> Taxpayers for Common Sense, “Cutting Our Losses: 20 Years of Money-Losing Timber Sales in the </w:t>
      </w:r>
      <w:proofErr w:type="spellStart"/>
      <w:r>
        <w:rPr>
          <w:rFonts w:eastAsia="Times New Roman"/>
          <w:color w:val="000000"/>
          <w:sz w:val="20"/>
        </w:rPr>
        <w:t>Tongass</w:t>
      </w:r>
      <w:proofErr w:type="spellEnd"/>
      <w:r>
        <w:rPr>
          <w:rFonts w:eastAsia="Times New Roman"/>
          <w:color w:val="000000"/>
          <w:sz w:val="20"/>
        </w:rPr>
        <w:t>” (2019),</w:t>
      </w:r>
      <w:hyperlink r:id="rId5">
        <w:r>
          <w:rPr>
            <w:rFonts w:eastAsia="Times New Roman"/>
            <w:color w:val="0000FF"/>
            <w:sz w:val="20"/>
            <w:u w:val="single"/>
          </w:rPr>
          <w:t xml:space="preserve"> https://www.taxpayer.net/wp-content/uplo</w:t>
        </w:r>
        <w:r>
          <w:rPr>
            <w:rFonts w:eastAsia="Times New Roman"/>
            <w:color w:val="0000FF"/>
            <w:sz w:val="20"/>
            <w:u w:val="single"/>
          </w:rPr>
          <w:t>ads/2019/09/TCS-Cutting-Our-Losses-2019-.pdf</w:t>
        </w:r>
      </w:hyperlink>
      <w:r>
        <w:rPr>
          <w:rFonts w:eastAsia="Times New Roman"/>
          <w:color w:val="0000FF"/>
          <w:sz w:val="20"/>
          <w:u w:val="single"/>
        </w:rPr>
        <w:t>.</w:t>
      </w:r>
      <w:r>
        <w:rPr>
          <w:rFonts w:eastAsia="Times New Roman"/>
          <w:color w:val="1154CC"/>
          <w:sz w:val="20"/>
        </w:rPr>
        <w:t xml:space="preserve"> </w:t>
      </w:r>
    </w:p>
    <w:p w:rsidR="008337BD" w:rsidRDefault="008337BD">
      <w:pPr>
        <w:sectPr w:rsidR="008337BD">
          <w:pgSz w:w="12240" w:h="15840"/>
          <w:pgMar w:top="760" w:right="1439" w:bottom="1004" w:left="1421" w:header="720" w:footer="720" w:gutter="0"/>
          <w:cols w:space="720"/>
        </w:sectPr>
      </w:pPr>
    </w:p>
    <w:p w:rsidR="008337BD" w:rsidRDefault="00A7737C">
      <w:pPr>
        <w:spacing w:line="319" w:lineRule="exact"/>
        <w:ind w:right="144"/>
        <w:textAlignment w:val="baseline"/>
        <w:rPr>
          <w:rFonts w:eastAsia="Times New Roman"/>
          <w:color w:val="000000"/>
          <w:spacing w:val="8"/>
          <w:sz w:val="26"/>
        </w:rPr>
      </w:pPr>
      <w:r>
        <w:rPr>
          <w:rFonts w:eastAsia="Times New Roman"/>
          <w:color w:val="000000"/>
          <w:spacing w:val="8"/>
          <w:sz w:val="26"/>
        </w:rPr>
        <w:lastRenderedPageBreak/>
        <w:t xml:space="preserve">connections between communities. The Rule is also flexible in that it allows the Forest Service to accommodate reasonable needs for road building and logging in roadless areas. In fact, the agency has approved all 58 projects that have been proposed in </w:t>
      </w:r>
      <w:proofErr w:type="spellStart"/>
      <w:r>
        <w:rPr>
          <w:rFonts w:eastAsia="Times New Roman"/>
          <w:color w:val="000000"/>
          <w:spacing w:val="8"/>
          <w:sz w:val="26"/>
        </w:rPr>
        <w:t>Ton</w:t>
      </w:r>
      <w:r>
        <w:rPr>
          <w:rFonts w:eastAsia="Times New Roman"/>
          <w:color w:val="000000"/>
          <w:spacing w:val="8"/>
          <w:sz w:val="26"/>
        </w:rPr>
        <w:t>gass</w:t>
      </w:r>
      <w:proofErr w:type="spellEnd"/>
      <w:r>
        <w:rPr>
          <w:rFonts w:eastAsia="Times New Roman"/>
          <w:color w:val="000000"/>
          <w:spacing w:val="8"/>
          <w:sz w:val="26"/>
        </w:rPr>
        <w:t xml:space="preserve"> roadless areas since the Roadless Rule went into effect.</w:t>
      </w:r>
    </w:p>
    <w:p w:rsidR="008337BD" w:rsidRDefault="00A7737C">
      <w:pPr>
        <w:spacing w:before="160" w:line="325" w:lineRule="exact"/>
        <w:ind w:right="288"/>
        <w:textAlignment w:val="baseline"/>
        <w:rPr>
          <w:rFonts w:eastAsia="Times New Roman"/>
          <w:color w:val="000000"/>
          <w:spacing w:val="8"/>
          <w:sz w:val="26"/>
        </w:rPr>
      </w:pPr>
      <w:r>
        <w:rPr>
          <w:rFonts w:eastAsia="Times New Roman"/>
          <w:color w:val="000000"/>
          <w:spacing w:val="8"/>
          <w:sz w:val="26"/>
        </w:rPr>
        <w:t xml:space="preserve">The importance of the Roadless Rule is especially apparent in the </w:t>
      </w:r>
      <w:proofErr w:type="spellStart"/>
      <w:r>
        <w:rPr>
          <w:rFonts w:eastAsia="Times New Roman"/>
          <w:color w:val="000000"/>
          <w:spacing w:val="8"/>
          <w:sz w:val="26"/>
        </w:rPr>
        <w:t>Tongass</w:t>
      </w:r>
      <w:proofErr w:type="spellEnd"/>
      <w:r>
        <w:rPr>
          <w:rFonts w:eastAsia="Times New Roman"/>
          <w:color w:val="000000"/>
          <w:spacing w:val="8"/>
          <w:sz w:val="26"/>
        </w:rPr>
        <w:t xml:space="preserve"> National Forest. Due to high road building and transportations costs, lack of sawmill capacity, and low timber values, t</w:t>
      </w:r>
      <w:r>
        <w:rPr>
          <w:rFonts w:eastAsia="Times New Roman"/>
          <w:color w:val="000000"/>
          <w:spacing w:val="8"/>
          <w:sz w:val="26"/>
        </w:rPr>
        <w:t xml:space="preserve">he </w:t>
      </w:r>
      <w:proofErr w:type="spellStart"/>
      <w:r>
        <w:rPr>
          <w:rFonts w:eastAsia="Times New Roman"/>
          <w:color w:val="000000"/>
          <w:spacing w:val="8"/>
          <w:sz w:val="26"/>
        </w:rPr>
        <w:t>Tongass</w:t>
      </w:r>
      <w:proofErr w:type="spellEnd"/>
      <w:r>
        <w:rPr>
          <w:rFonts w:eastAsia="Times New Roman"/>
          <w:color w:val="000000"/>
          <w:spacing w:val="8"/>
          <w:sz w:val="26"/>
        </w:rPr>
        <w:t xml:space="preserve"> has the least economically efficient timber sale program in the National Forest System.</w:t>
      </w:r>
    </w:p>
    <w:p w:rsidR="008337BD" w:rsidRDefault="00A7737C">
      <w:pPr>
        <w:spacing w:before="158" w:line="323" w:lineRule="exact"/>
        <w:ind w:right="144"/>
        <w:textAlignment w:val="baseline"/>
        <w:rPr>
          <w:rFonts w:eastAsia="Times New Roman"/>
          <w:color w:val="000000"/>
          <w:spacing w:val="8"/>
          <w:sz w:val="26"/>
        </w:rPr>
      </w:pPr>
      <w:r>
        <w:rPr>
          <w:rFonts w:eastAsia="Times New Roman"/>
          <w:color w:val="000000"/>
          <w:spacing w:val="8"/>
          <w:sz w:val="26"/>
        </w:rPr>
        <w:t>Maintaining existing Roadless protections in Alaska will help save taxpayers millions of dollars by limiting costly new road building in harsh and inaccessib</w:t>
      </w:r>
      <w:r>
        <w:rPr>
          <w:rFonts w:eastAsia="Times New Roman"/>
          <w:color w:val="000000"/>
          <w:spacing w:val="8"/>
          <w:sz w:val="26"/>
        </w:rPr>
        <w:t xml:space="preserve">le terrain. Road construction costs on the </w:t>
      </w:r>
      <w:proofErr w:type="spellStart"/>
      <w:r>
        <w:rPr>
          <w:rFonts w:eastAsia="Times New Roman"/>
          <w:color w:val="000000"/>
          <w:spacing w:val="8"/>
          <w:sz w:val="26"/>
        </w:rPr>
        <w:t>Tongass</w:t>
      </w:r>
      <w:proofErr w:type="spellEnd"/>
      <w:r>
        <w:rPr>
          <w:rFonts w:eastAsia="Times New Roman"/>
          <w:color w:val="000000"/>
          <w:spacing w:val="8"/>
          <w:sz w:val="26"/>
        </w:rPr>
        <w:t xml:space="preserve"> average $185,000 per </w:t>
      </w:r>
      <w:proofErr w:type="gramStart"/>
      <w:r>
        <w:rPr>
          <w:rFonts w:eastAsia="Times New Roman"/>
          <w:color w:val="000000"/>
          <w:spacing w:val="8"/>
          <w:sz w:val="26"/>
        </w:rPr>
        <w:t>mile, and</w:t>
      </w:r>
      <w:proofErr w:type="gramEnd"/>
      <w:r>
        <w:rPr>
          <w:rFonts w:eastAsia="Times New Roman"/>
          <w:color w:val="000000"/>
          <w:spacing w:val="8"/>
          <w:sz w:val="26"/>
        </w:rPr>
        <w:t xml:space="preserve"> can be as high as $322,378 per mile on steep slopes, with maintenance and repair costs averaging $50,000 per mile.</w:t>
      </w:r>
      <w:r>
        <w:rPr>
          <w:rFonts w:ascii="Arial" w:eastAsia="Arial" w:hAnsi="Arial"/>
          <w:i/>
          <w:color w:val="000000"/>
          <w:spacing w:val="8"/>
          <w:sz w:val="6"/>
        </w:rPr>
        <w:t>1F</w:t>
      </w:r>
      <w:r>
        <w:rPr>
          <w:rFonts w:eastAsia="Times New Roman"/>
          <w:color w:val="000000"/>
          <w:spacing w:val="8"/>
          <w:sz w:val="6"/>
          <w:vertAlign w:val="superscript"/>
        </w:rPr>
        <w:t>2</w:t>
      </w:r>
      <w:r>
        <w:rPr>
          <w:rFonts w:eastAsia="Times New Roman"/>
          <w:color w:val="000000"/>
          <w:spacing w:val="8"/>
          <w:sz w:val="17"/>
        </w:rPr>
        <w:t xml:space="preserve"> </w:t>
      </w:r>
    </w:p>
    <w:p w:rsidR="008337BD" w:rsidRDefault="00A7737C">
      <w:pPr>
        <w:spacing w:before="172" w:line="323" w:lineRule="exact"/>
        <w:ind w:right="360"/>
        <w:textAlignment w:val="baseline"/>
        <w:rPr>
          <w:rFonts w:eastAsia="Times New Roman"/>
          <w:color w:val="000000"/>
          <w:spacing w:val="8"/>
          <w:sz w:val="26"/>
        </w:rPr>
      </w:pPr>
      <w:r>
        <w:rPr>
          <w:rFonts w:eastAsia="Times New Roman"/>
          <w:color w:val="000000"/>
          <w:spacing w:val="8"/>
          <w:sz w:val="26"/>
        </w:rPr>
        <w:t>These costs are largely absorbed by the USFS, which already has a $3.2 billion maintenance backlog resulting from its massive 371,000-mile road network. Continuing to burden this system by adding more roads will either defer more critical infrastructure ma</w:t>
      </w:r>
      <w:r>
        <w:rPr>
          <w:rFonts w:eastAsia="Times New Roman"/>
          <w:color w:val="000000"/>
          <w:spacing w:val="8"/>
          <w:sz w:val="26"/>
        </w:rPr>
        <w:t>intenance or will force additional funding allocations from Congress. We strongly oppose the waste of taxpayer money to subsidize a program that does not net value back to the taxpayers.</w:t>
      </w:r>
    </w:p>
    <w:p w:rsidR="008337BD" w:rsidRDefault="00A7737C">
      <w:pPr>
        <w:spacing w:before="190" w:line="299" w:lineRule="exact"/>
        <w:ind w:right="144"/>
        <w:textAlignment w:val="baseline"/>
        <w:rPr>
          <w:rFonts w:eastAsia="Times New Roman"/>
          <w:color w:val="000000"/>
          <w:spacing w:val="8"/>
          <w:sz w:val="26"/>
        </w:rPr>
      </w:pPr>
      <w:r>
        <w:rPr>
          <w:rFonts w:eastAsia="Times New Roman"/>
          <w:color w:val="000000"/>
          <w:spacing w:val="8"/>
          <w:sz w:val="26"/>
        </w:rPr>
        <w:t xml:space="preserve">From the 1950s to the 1990s, the </w:t>
      </w:r>
      <w:proofErr w:type="spellStart"/>
      <w:r>
        <w:rPr>
          <w:rFonts w:eastAsia="Times New Roman"/>
          <w:color w:val="000000"/>
          <w:spacing w:val="8"/>
          <w:sz w:val="26"/>
        </w:rPr>
        <w:t>Tongass</w:t>
      </w:r>
      <w:proofErr w:type="spellEnd"/>
      <w:r>
        <w:rPr>
          <w:rFonts w:eastAsia="Times New Roman"/>
          <w:color w:val="000000"/>
          <w:spacing w:val="8"/>
          <w:sz w:val="26"/>
        </w:rPr>
        <w:t xml:space="preserve"> yielded significant amounts </w:t>
      </w:r>
      <w:r>
        <w:rPr>
          <w:rFonts w:eastAsia="Times New Roman"/>
          <w:color w:val="000000"/>
          <w:spacing w:val="8"/>
          <w:sz w:val="26"/>
        </w:rPr>
        <w:t xml:space="preserve">of timber for pulp, paper, and lumber, and supported thousands of jobs in Southeast Alaska. But since then, market forces have drastically changed that industry, and today the </w:t>
      </w:r>
      <w:proofErr w:type="spellStart"/>
      <w:r>
        <w:rPr>
          <w:rFonts w:eastAsia="Times New Roman"/>
          <w:color w:val="000000"/>
          <w:spacing w:val="8"/>
          <w:sz w:val="26"/>
        </w:rPr>
        <w:t>Tongass</w:t>
      </w:r>
      <w:proofErr w:type="spellEnd"/>
      <w:r>
        <w:rPr>
          <w:rFonts w:eastAsia="Times New Roman"/>
          <w:color w:val="000000"/>
          <w:spacing w:val="8"/>
          <w:sz w:val="26"/>
        </w:rPr>
        <w:t xml:space="preserve"> supports fewer than 100 timber jobs, which account for less than one per</w:t>
      </w:r>
      <w:r>
        <w:rPr>
          <w:rFonts w:eastAsia="Times New Roman"/>
          <w:color w:val="000000"/>
          <w:spacing w:val="8"/>
          <w:sz w:val="26"/>
        </w:rPr>
        <w:t>cent of regional employment. Tourism and fishing, on the other hand, represent 26 percent of jobs in the region. A total exemption from the Roadless Rule will not revive Southeast Alaska’s failing timber industry and will directly threaten the thriving and</w:t>
      </w:r>
      <w:r>
        <w:rPr>
          <w:rFonts w:eastAsia="Times New Roman"/>
          <w:color w:val="000000"/>
          <w:spacing w:val="8"/>
          <w:sz w:val="26"/>
        </w:rPr>
        <w:t xml:space="preserve"> sustainable fishing and tourism industries.</w:t>
      </w:r>
    </w:p>
    <w:p w:rsidR="008337BD" w:rsidRDefault="00A7737C">
      <w:pPr>
        <w:spacing w:before="305" w:after="319" w:line="299" w:lineRule="exact"/>
        <w:ind w:right="144"/>
        <w:textAlignment w:val="baseline"/>
        <w:rPr>
          <w:rFonts w:eastAsia="Times New Roman"/>
          <w:color w:val="000000"/>
          <w:spacing w:val="9"/>
          <w:sz w:val="26"/>
        </w:rPr>
      </w:pPr>
      <w:r>
        <w:rPr>
          <w:rFonts w:eastAsia="Times New Roman"/>
          <w:color w:val="000000"/>
          <w:spacing w:val="9"/>
          <w:sz w:val="26"/>
        </w:rPr>
        <w:t xml:space="preserve">The </w:t>
      </w:r>
      <w:proofErr w:type="spellStart"/>
      <w:r>
        <w:rPr>
          <w:rFonts w:eastAsia="Times New Roman"/>
          <w:color w:val="000000"/>
          <w:spacing w:val="9"/>
          <w:sz w:val="26"/>
        </w:rPr>
        <w:t>Tongass</w:t>
      </w:r>
      <w:proofErr w:type="spellEnd"/>
      <w:r>
        <w:rPr>
          <w:rFonts w:eastAsia="Times New Roman"/>
          <w:color w:val="000000"/>
          <w:spacing w:val="9"/>
          <w:sz w:val="26"/>
        </w:rPr>
        <w:t xml:space="preserve"> contains some of the largest remaining tracts of temperate old-growth rainforest in the world, helping make it the country’s single most important national forest for carbon storage and climate chang</w:t>
      </w:r>
      <w:r>
        <w:rPr>
          <w:rFonts w:eastAsia="Times New Roman"/>
          <w:color w:val="000000"/>
          <w:spacing w:val="9"/>
          <w:sz w:val="26"/>
        </w:rPr>
        <w:t>e mitigation. The forest holds about 650 million tons of carbon, representing roughly half of 2017 U.S. carbon dioxide emissions from the electric, industry, transportation, agriculture, and commercial/residential sectors.</w:t>
      </w:r>
      <w:r>
        <w:rPr>
          <w:rFonts w:ascii="Arial" w:eastAsia="Arial" w:hAnsi="Arial"/>
          <w:i/>
          <w:color w:val="000000"/>
          <w:spacing w:val="9"/>
          <w:sz w:val="6"/>
        </w:rPr>
        <w:t>2F</w:t>
      </w:r>
      <w:r>
        <w:rPr>
          <w:rFonts w:eastAsia="Times New Roman"/>
          <w:color w:val="000000"/>
          <w:spacing w:val="9"/>
          <w:sz w:val="6"/>
          <w:vertAlign w:val="superscript"/>
        </w:rPr>
        <w:t>3</w:t>
      </w:r>
      <w:r>
        <w:rPr>
          <w:rFonts w:eastAsia="Times New Roman"/>
          <w:color w:val="000000"/>
          <w:spacing w:val="9"/>
          <w:sz w:val="26"/>
        </w:rPr>
        <w:t xml:space="preserve"> Carbon stored in the </w:t>
      </w:r>
      <w:proofErr w:type="spellStart"/>
      <w:r>
        <w:rPr>
          <w:rFonts w:eastAsia="Times New Roman"/>
          <w:color w:val="000000"/>
          <w:spacing w:val="9"/>
          <w:sz w:val="26"/>
        </w:rPr>
        <w:t>Tongass</w:t>
      </w:r>
      <w:proofErr w:type="spellEnd"/>
      <w:r>
        <w:rPr>
          <w:rFonts w:eastAsia="Times New Roman"/>
          <w:color w:val="000000"/>
          <w:spacing w:val="9"/>
          <w:sz w:val="26"/>
        </w:rPr>
        <w:t xml:space="preserve"> m</w:t>
      </w:r>
      <w:r>
        <w:rPr>
          <w:rFonts w:eastAsia="Times New Roman"/>
          <w:color w:val="000000"/>
          <w:spacing w:val="9"/>
          <w:sz w:val="26"/>
        </w:rPr>
        <w:t>akes up about 11 percent of the carbon currently stored in U.S. forests.</w:t>
      </w:r>
      <w:r>
        <w:rPr>
          <w:rFonts w:ascii="Arial" w:eastAsia="Arial" w:hAnsi="Arial"/>
          <w:i/>
          <w:color w:val="000000"/>
          <w:spacing w:val="9"/>
          <w:sz w:val="6"/>
        </w:rPr>
        <w:t>3F</w:t>
      </w:r>
      <w:r>
        <w:rPr>
          <w:rFonts w:eastAsia="Times New Roman"/>
          <w:color w:val="000000"/>
          <w:spacing w:val="9"/>
          <w:sz w:val="6"/>
          <w:vertAlign w:val="superscript"/>
        </w:rPr>
        <w:t>4</w:t>
      </w:r>
      <w:r>
        <w:rPr>
          <w:rFonts w:eastAsia="Times New Roman"/>
          <w:color w:val="000000"/>
          <w:spacing w:val="9"/>
          <w:sz w:val="17"/>
        </w:rPr>
        <w:t xml:space="preserve"> </w:t>
      </w:r>
    </w:p>
    <w:p w:rsidR="008337BD" w:rsidRDefault="00A7737C">
      <w:pPr>
        <w:spacing w:before="117" w:line="234" w:lineRule="exact"/>
        <w:ind w:right="144"/>
        <w:textAlignment w:val="baseline"/>
        <w:rPr>
          <w:rFonts w:eastAsia="Times New Roman"/>
          <w:color w:val="000000"/>
          <w:spacing w:val="-1"/>
          <w:sz w:val="13"/>
          <w:vertAlign w:val="superscript"/>
        </w:rPr>
      </w:pPr>
      <w:r>
        <w:pict>
          <v:line id="_x0000_s1026" style="position:absolute;z-index:251658240;mso-position-horizontal-relative:page;mso-position-vertical-relative:page" from="69.85pt,657.1pt" to="216.3pt,657.1pt" strokeweight=".95pt">
            <w10:wrap anchorx="page" anchory="page"/>
          </v:line>
        </w:pict>
      </w:r>
      <w:r>
        <w:rPr>
          <w:rFonts w:eastAsia="Times New Roman"/>
          <w:color w:val="000000"/>
          <w:spacing w:val="-1"/>
          <w:sz w:val="13"/>
          <w:vertAlign w:val="superscript"/>
        </w:rPr>
        <w:t>2</w:t>
      </w:r>
      <w:r>
        <w:rPr>
          <w:rFonts w:eastAsia="Times New Roman"/>
          <w:color w:val="000000"/>
          <w:spacing w:val="-1"/>
          <w:sz w:val="20"/>
        </w:rPr>
        <w:t xml:space="preserve"> Alexander, S. J., Dr., Henderson, E. B., &amp; Coleman, R. (2010). Economic Analysis of Southeast Alaska: Envisioning a Sustainable Economy with Thriving Communities [Abstract]. </w:t>
      </w:r>
      <w:r>
        <w:rPr>
          <w:rFonts w:eastAsia="Times New Roman"/>
          <w:i/>
          <w:color w:val="000000"/>
          <w:spacing w:val="-1"/>
          <w:sz w:val="20"/>
        </w:rPr>
        <w:t xml:space="preserve">Forest Service Alaska Region, </w:t>
      </w:r>
      <w:r>
        <w:rPr>
          <w:rFonts w:eastAsia="Times New Roman"/>
          <w:color w:val="000000"/>
          <w:spacing w:val="-1"/>
          <w:sz w:val="20"/>
        </w:rPr>
        <w:t>p. 1-98.</w:t>
      </w:r>
    </w:p>
    <w:p w:rsidR="008337BD" w:rsidRDefault="00A7737C">
      <w:pPr>
        <w:spacing w:line="228" w:lineRule="exact"/>
        <w:jc w:val="both"/>
        <w:textAlignment w:val="baseline"/>
        <w:rPr>
          <w:rFonts w:eastAsia="Times New Roman"/>
          <w:color w:val="000000"/>
          <w:sz w:val="13"/>
          <w:vertAlign w:val="superscript"/>
        </w:rPr>
      </w:pPr>
      <w:r>
        <w:rPr>
          <w:rFonts w:eastAsia="Times New Roman"/>
          <w:color w:val="000000"/>
          <w:sz w:val="13"/>
          <w:vertAlign w:val="superscript"/>
        </w:rPr>
        <w:t>3</w:t>
      </w:r>
      <w:r>
        <w:rPr>
          <w:rFonts w:eastAsia="Times New Roman"/>
          <w:color w:val="000000"/>
          <w:sz w:val="20"/>
        </w:rPr>
        <w:t xml:space="preserve"> </w:t>
      </w:r>
      <w:proofErr w:type="spellStart"/>
      <w:r>
        <w:rPr>
          <w:rFonts w:eastAsia="Times New Roman"/>
          <w:color w:val="000000"/>
          <w:sz w:val="20"/>
        </w:rPr>
        <w:t>Tongass</w:t>
      </w:r>
      <w:proofErr w:type="spellEnd"/>
      <w:r>
        <w:rPr>
          <w:rFonts w:eastAsia="Times New Roman"/>
          <w:color w:val="000000"/>
          <w:sz w:val="20"/>
        </w:rPr>
        <w:t xml:space="preserve"> National Forest. Draft Environme</w:t>
      </w:r>
      <w:r>
        <w:rPr>
          <w:rFonts w:eastAsia="Times New Roman"/>
          <w:color w:val="000000"/>
          <w:sz w:val="20"/>
        </w:rPr>
        <w:t>ntal Impacts Statement Rulemaking for Alaska Roadless Rule, p. 3-124, section Carbon Storage Aboveground.</w:t>
      </w:r>
    </w:p>
    <w:p w:rsidR="008337BD" w:rsidRDefault="00A7737C">
      <w:pPr>
        <w:spacing w:line="218" w:lineRule="exact"/>
        <w:textAlignment w:val="baseline"/>
        <w:rPr>
          <w:rFonts w:eastAsia="Times New Roman"/>
          <w:color w:val="000000"/>
          <w:spacing w:val="-1"/>
          <w:sz w:val="13"/>
          <w:vertAlign w:val="superscript"/>
        </w:rPr>
      </w:pPr>
      <w:r>
        <w:rPr>
          <w:rFonts w:eastAsia="Times New Roman"/>
          <w:color w:val="000000"/>
          <w:spacing w:val="-1"/>
          <w:sz w:val="13"/>
          <w:vertAlign w:val="superscript"/>
        </w:rPr>
        <w:t>4</w:t>
      </w:r>
      <w:r>
        <w:rPr>
          <w:rFonts w:eastAsia="Times New Roman"/>
          <w:i/>
          <w:color w:val="000000"/>
          <w:spacing w:val="-1"/>
          <w:sz w:val="20"/>
        </w:rPr>
        <w:t xml:space="preserve"> Ibid</w:t>
      </w:r>
      <w:r>
        <w:rPr>
          <w:rFonts w:eastAsia="Times New Roman"/>
          <w:color w:val="000000"/>
          <w:spacing w:val="-1"/>
          <w:sz w:val="20"/>
        </w:rPr>
        <w:t>.</w:t>
      </w:r>
    </w:p>
    <w:p w:rsidR="008337BD" w:rsidRDefault="008337BD">
      <w:pPr>
        <w:sectPr w:rsidR="008337BD">
          <w:pgSz w:w="12240" w:h="15840"/>
          <w:pgMar w:top="1200" w:right="1463" w:bottom="1024" w:left="1397" w:header="720" w:footer="720" w:gutter="0"/>
          <w:cols w:space="720"/>
        </w:sectPr>
      </w:pPr>
    </w:p>
    <w:p w:rsidR="008337BD" w:rsidRDefault="00A7737C">
      <w:pPr>
        <w:spacing w:before="2" w:line="300" w:lineRule="exact"/>
        <w:ind w:left="72" w:right="288"/>
        <w:textAlignment w:val="baseline"/>
        <w:rPr>
          <w:rFonts w:eastAsia="Times New Roman"/>
          <w:color w:val="000000"/>
          <w:spacing w:val="8"/>
          <w:sz w:val="26"/>
        </w:rPr>
      </w:pPr>
      <w:r>
        <w:rPr>
          <w:rFonts w:eastAsia="Times New Roman"/>
          <w:color w:val="000000"/>
          <w:spacing w:val="8"/>
          <w:sz w:val="26"/>
        </w:rPr>
        <w:lastRenderedPageBreak/>
        <w:t>If logged, much of this stored carbon will be released into the atmosphere, accelerating climate change. Any “second growth” trees w</w:t>
      </w:r>
      <w:r>
        <w:rPr>
          <w:rFonts w:eastAsia="Times New Roman"/>
          <w:color w:val="000000"/>
          <w:spacing w:val="8"/>
          <w:sz w:val="26"/>
        </w:rPr>
        <w:t xml:space="preserve">ill not store nearly as much carbon. By simply not clearcutting these areas and keeping the Roadless Rule in place, the </w:t>
      </w:r>
      <w:proofErr w:type="spellStart"/>
      <w:r>
        <w:rPr>
          <w:rFonts w:eastAsia="Times New Roman"/>
          <w:color w:val="000000"/>
          <w:spacing w:val="8"/>
          <w:sz w:val="26"/>
        </w:rPr>
        <w:t>Tongass</w:t>
      </w:r>
      <w:proofErr w:type="spellEnd"/>
      <w:r>
        <w:rPr>
          <w:rFonts w:eastAsia="Times New Roman"/>
          <w:color w:val="000000"/>
          <w:spacing w:val="8"/>
          <w:sz w:val="26"/>
        </w:rPr>
        <w:t xml:space="preserve"> can continue to be a </w:t>
      </w:r>
      <w:proofErr w:type="gramStart"/>
      <w:r>
        <w:rPr>
          <w:rFonts w:eastAsia="Times New Roman"/>
          <w:color w:val="000000"/>
          <w:spacing w:val="8"/>
          <w:sz w:val="26"/>
        </w:rPr>
        <w:t>low cost</w:t>
      </w:r>
      <w:proofErr w:type="gramEnd"/>
      <w:r>
        <w:rPr>
          <w:rFonts w:eastAsia="Times New Roman"/>
          <w:color w:val="000000"/>
          <w:spacing w:val="8"/>
          <w:sz w:val="26"/>
        </w:rPr>
        <w:t xml:space="preserve"> part of our country’s response to climate change.</w:t>
      </w:r>
    </w:p>
    <w:p w:rsidR="008337BD" w:rsidRDefault="00A7737C">
      <w:pPr>
        <w:spacing w:before="302" w:line="300" w:lineRule="exact"/>
        <w:ind w:left="72" w:right="72"/>
        <w:textAlignment w:val="baseline"/>
        <w:rPr>
          <w:rFonts w:eastAsia="Times New Roman"/>
          <w:color w:val="000000"/>
          <w:spacing w:val="8"/>
          <w:sz w:val="26"/>
        </w:rPr>
      </w:pPr>
      <w:r>
        <w:rPr>
          <w:rFonts w:eastAsia="Times New Roman"/>
          <w:color w:val="000000"/>
          <w:spacing w:val="8"/>
          <w:sz w:val="26"/>
        </w:rPr>
        <w:t>It is critical that Alaska’s national forests be</w:t>
      </w:r>
      <w:r>
        <w:rPr>
          <w:rFonts w:eastAsia="Times New Roman"/>
          <w:color w:val="000000"/>
          <w:spacing w:val="8"/>
          <w:sz w:val="26"/>
        </w:rPr>
        <w:t xml:space="preserve"> managed in a fiscally responsible way. Timber harvesting on national forests is a viable multiple use activity, providing jobs and producing valuable products. However, from an economic and environmental standpoint, we cannot justify </w:t>
      </w:r>
      <w:proofErr w:type="gramStart"/>
      <w:r>
        <w:rPr>
          <w:rFonts w:eastAsia="Times New Roman"/>
          <w:color w:val="000000"/>
          <w:spacing w:val="8"/>
          <w:sz w:val="26"/>
        </w:rPr>
        <w:t>opening up</w:t>
      </w:r>
      <w:proofErr w:type="gramEnd"/>
      <w:r>
        <w:rPr>
          <w:rFonts w:eastAsia="Times New Roman"/>
          <w:color w:val="000000"/>
          <w:spacing w:val="8"/>
          <w:sz w:val="26"/>
        </w:rPr>
        <w:t xml:space="preserve"> more roadl</w:t>
      </w:r>
      <w:r>
        <w:rPr>
          <w:rFonts w:eastAsia="Times New Roman"/>
          <w:color w:val="000000"/>
          <w:spacing w:val="8"/>
          <w:sz w:val="26"/>
        </w:rPr>
        <w:t xml:space="preserve">ess areas in the </w:t>
      </w:r>
      <w:proofErr w:type="spellStart"/>
      <w:r>
        <w:rPr>
          <w:rFonts w:eastAsia="Times New Roman"/>
          <w:color w:val="000000"/>
          <w:spacing w:val="8"/>
          <w:sz w:val="26"/>
        </w:rPr>
        <w:t>Tongass</w:t>
      </w:r>
      <w:proofErr w:type="spellEnd"/>
      <w:r>
        <w:rPr>
          <w:rFonts w:eastAsia="Times New Roman"/>
          <w:color w:val="000000"/>
          <w:spacing w:val="8"/>
          <w:sz w:val="26"/>
        </w:rPr>
        <w:t xml:space="preserve"> for timber sales for the reasons stated above. Keeping the Roadless Rule intact will safeguard the government from incurring needless debt, align the </w:t>
      </w:r>
      <w:proofErr w:type="spellStart"/>
      <w:r>
        <w:rPr>
          <w:rFonts w:eastAsia="Times New Roman"/>
          <w:color w:val="000000"/>
          <w:spacing w:val="8"/>
          <w:sz w:val="26"/>
        </w:rPr>
        <w:t>Tongass</w:t>
      </w:r>
      <w:proofErr w:type="spellEnd"/>
      <w:r>
        <w:rPr>
          <w:rFonts w:eastAsia="Times New Roman"/>
          <w:color w:val="000000"/>
          <w:spacing w:val="8"/>
          <w:sz w:val="26"/>
        </w:rPr>
        <w:t>’ management direction with the realities of Southeast Alaska’s commercial</w:t>
      </w:r>
      <w:r>
        <w:rPr>
          <w:rFonts w:eastAsia="Times New Roman"/>
          <w:color w:val="000000"/>
          <w:spacing w:val="8"/>
          <w:sz w:val="26"/>
        </w:rPr>
        <w:t xml:space="preserve"> trends, and help fight climate change.</w:t>
      </w:r>
    </w:p>
    <w:p w:rsidR="008337BD" w:rsidRDefault="00A7737C">
      <w:pPr>
        <w:spacing w:before="278" w:line="323" w:lineRule="exact"/>
        <w:ind w:left="72" w:right="288"/>
        <w:textAlignment w:val="baseline"/>
        <w:rPr>
          <w:rFonts w:eastAsia="Times New Roman"/>
          <w:color w:val="000000"/>
          <w:sz w:val="26"/>
        </w:rPr>
      </w:pPr>
      <w:r>
        <w:rPr>
          <w:rFonts w:eastAsia="Times New Roman"/>
          <w:color w:val="000000"/>
          <w:sz w:val="26"/>
        </w:rPr>
        <w:t>While speaking of America’s great forests and other natural wonders, President Reagan wisely pointed out, “This is our patrimony. This is what we leave to our children. And our great moral responsibility is to leave it to them either as we found it or bett</w:t>
      </w:r>
      <w:r>
        <w:rPr>
          <w:rFonts w:eastAsia="Times New Roman"/>
          <w:color w:val="000000"/>
          <w:sz w:val="26"/>
        </w:rPr>
        <w:t>er than we found it.”</w:t>
      </w:r>
    </w:p>
    <w:p w:rsidR="008337BD" w:rsidRDefault="00A7737C">
      <w:pPr>
        <w:spacing w:before="161" w:line="324" w:lineRule="exact"/>
        <w:ind w:left="72" w:right="288"/>
        <w:textAlignment w:val="baseline"/>
        <w:rPr>
          <w:rFonts w:eastAsia="Times New Roman"/>
          <w:color w:val="000000"/>
          <w:sz w:val="26"/>
        </w:rPr>
      </w:pPr>
      <w:r>
        <w:rPr>
          <w:rFonts w:eastAsia="Times New Roman"/>
          <w:color w:val="000000"/>
          <w:sz w:val="26"/>
        </w:rPr>
        <w:t>Thank you for considering our request that the Forest Service pursue a fiscally responsible, environmentally sound course of action by selecting Alternative #1, the “no action” alternative.</w:t>
      </w:r>
    </w:p>
    <w:p w:rsidR="008337BD" w:rsidRDefault="00A7737C">
      <w:pPr>
        <w:spacing w:before="218" w:after="172" w:line="267" w:lineRule="exact"/>
        <w:ind w:left="72"/>
        <w:textAlignment w:val="baseline"/>
        <w:rPr>
          <w:rFonts w:eastAsia="Times New Roman"/>
          <w:color w:val="000000"/>
          <w:spacing w:val="3"/>
          <w:sz w:val="26"/>
        </w:rPr>
      </w:pPr>
      <w:r>
        <w:rPr>
          <w:rFonts w:eastAsia="Times New Roman"/>
          <w:color w:val="000000"/>
          <w:spacing w:val="3"/>
          <w:sz w:val="26"/>
        </w:rPr>
        <w:t>Respectfully,</w:t>
      </w:r>
    </w:p>
    <w:p w:rsidR="008337BD" w:rsidRDefault="00A7737C">
      <w:pPr>
        <w:spacing w:after="195"/>
        <w:ind w:left="94" w:right="6372"/>
        <w:textAlignment w:val="baseline"/>
      </w:pPr>
      <w:r>
        <w:rPr>
          <w:noProof/>
        </w:rPr>
        <w:drawing>
          <wp:inline distT="0" distB="0" distL="0" distR="0">
            <wp:extent cx="1850390" cy="70675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1850390" cy="706755"/>
                    </a:xfrm>
                    <a:prstGeom prst="rect">
                      <a:avLst/>
                    </a:prstGeom>
                  </pic:spPr>
                </pic:pic>
              </a:graphicData>
            </a:graphic>
          </wp:inline>
        </w:drawing>
      </w:r>
    </w:p>
    <w:p w:rsidR="008337BD" w:rsidRDefault="00A7737C">
      <w:pPr>
        <w:spacing w:line="296" w:lineRule="exact"/>
        <w:ind w:left="72"/>
        <w:textAlignment w:val="baseline"/>
        <w:rPr>
          <w:rFonts w:eastAsia="Times New Roman"/>
          <w:color w:val="000000"/>
          <w:sz w:val="26"/>
        </w:rPr>
      </w:pPr>
      <w:r>
        <w:rPr>
          <w:rFonts w:eastAsia="Times New Roman"/>
          <w:color w:val="000000"/>
          <w:sz w:val="26"/>
        </w:rPr>
        <w:t xml:space="preserve">David Jenkins </w:t>
      </w:r>
      <w:r>
        <w:rPr>
          <w:rFonts w:eastAsia="Times New Roman"/>
          <w:color w:val="000000"/>
          <w:sz w:val="26"/>
        </w:rPr>
        <w:br/>
        <w:t>President</w:t>
      </w:r>
      <w:bookmarkEnd w:id="0"/>
    </w:p>
    <w:sectPr w:rsidR="008337BD">
      <w:pgSz w:w="12240" w:h="15840"/>
      <w:pgMar w:top="1320" w:right="1514" w:bottom="4644" w:left="1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8337BD"/>
    <w:rsid w:val="008337BD"/>
    <w:rsid w:val="00A7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47EBEAF-FFA5-4A4B-8949-EB87B85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www.taxpayer.net/wp-content/uploads/2019/09/TCS-Cutting-Our-Losses-2019-.pdf"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2</cp:revision>
  <dcterms:created xsi:type="dcterms:W3CDTF">2019-12-16T01:02:00Z</dcterms:created>
  <dcterms:modified xsi:type="dcterms:W3CDTF">2019-12-16T01:03:00Z</dcterms:modified>
</cp:coreProperties>
</file>