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4800"/>
        <w:gridCol w:w="3117"/>
      </w:tblGrid>
      <w:tr w:rsidR="00964B3F" w:rsidTr="00A81CA1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06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964B3F" w:rsidRDefault="009B217E">
            <w:pPr>
              <w:spacing w:before="156" w:line="274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Rules Committee </w:t>
            </w:r>
            <w:r>
              <w:rPr>
                <w:rFonts w:eastAsia="Times New Roman"/>
                <w:color w:val="000000"/>
                <w:sz w:val="20"/>
              </w:rPr>
              <w:br/>
              <w:t>Chairman</w:t>
            </w:r>
          </w:p>
          <w:p w:rsidR="00964B3F" w:rsidRDefault="009B217E">
            <w:pPr>
              <w:spacing w:before="40" w:line="271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Resources Committee</w:t>
            </w:r>
          </w:p>
          <w:p w:rsidR="00964B3F" w:rsidRDefault="009B217E">
            <w:pPr>
              <w:spacing w:before="49" w:line="225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Vice-Chair</w:t>
            </w:r>
          </w:p>
          <w:p w:rsidR="00964B3F" w:rsidRDefault="009B217E">
            <w:pPr>
              <w:spacing w:before="39" w:line="271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State Affairs Committee</w:t>
            </w:r>
          </w:p>
          <w:p w:rsidR="00964B3F" w:rsidRDefault="009B217E">
            <w:pPr>
              <w:spacing w:before="48" w:line="225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Vice-Chair</w:t>
            </w:r>
          </w:p>
          <w:p w:rsidR="00964B3F" w:rsidRDefault="009B217E">
            <w:pPr>
              <w:spacing w:before="24" w:line="28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Health and Social Services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Committee </w:t>
            </w:r>
            <w:r>
              <w:rPr>
                <w:rFonts w:eastAsia="Times New Roman"/>
                <w:color w:val="000000"/>
                <w:sz w:val="24"/>
              </w:rPr>
              <w:br/>
              <w:t>Vice-Chair</w:t>
            </w:r>
          </w:p>
          <w:p w:rsidR="00964B3F" w:rsidRDefault="009B217E">
            <w:pPr>
              <w:spacing w:line="249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Member - Legislative Council </w:t>
            </w:r>
            <w:r>
              <w:rPr>
                <w:rFonts w:eastAsia="Times New Roman"/>
                <w:color w:val="000000"/>
                <w:sz w:val="20"/>
              </w:rPr>
              <w:br/>
              <w:t xml:space="preserve">Member - Committee on Committees </w:t>
            </w:r>
            <w:r>
              <w:rPr>
                <w:rFonts w:eastAsia="Times New Roman"/>
                <w:color w:val="000000"/>
                <w:sz w:val="20"/>
              </w:rPr>
              <w:br/>
            </w:r>
            <w:r>
              <w:rPr>
                <w:rFonts w:eastAsia="Times New Roman"/>
                <w:color w:val="000000"/>
                <w:sz w:val="20"/>
              </w:rPr>
              <w:t xml:space="preserve">Member - Legislative Ethics </w:t>
            </w:r>
            <w:r>
              <w:rPr>
                <w:rFonts w:eastAsia="Times New Roman"/>
                <w:color w:val="000000"/>
                <w:sz w:val="20"/>
              </w:rPr>
              <w:br/>
              <w:t>Committee</w:t>
            </w:r>
          </w:p>
        </w:tc>
        <w:tc>
          <w:tcPr>
            <w:tcW w:w="4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4B3F" w:rsidRDefault="00A81CA1">
            <w:pPr>
              <w:spacing w:after="289" w:line="397" w:lineRule="exact"/>
              <w:jc w:val="center"/>
              <w:textAlignment w:val="baseline"/>
              <w:rPr>
                <w:rFonts w:eastAsia="Times New Roman"/>
                <w:b/>
                <w:color w:val="000000"/>
                <w:w w:val="85"/>
                <w:sz w:val="41"/>
              </w:rPr>
            </w:pPr>
            <w:r>
              <w:rPr>
                <w:rFonts w:eastAsia="Times New Roman"/>
                <w:b/>
                <w:color w:val="000000"/>
                <w:w w:val="85"/>
                <w:sz w:val="41"/>
              </w:rPr>
              <w:t>31th Alaska State Legislature</w:t>
            </w:r>
          </w:p>
        </w:tc>
        <w:tc>
          <w:tcPr>
            <w:tcW w:w="3117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bottom"/>
          </w:tcPr>
          <w:p w:rsidR="00964B3F" w:rsidRDefault="00964B3F">
            <w:pPr>
              <w:spacing w:before="232" w:after="78" w:line="230" w:lineRule="exact"/>
              <w:ind w:left="504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</w:p>
        </w:tc>
      </w:tr>
      <w:tr w:rsidR="00964B3F" w:rsidTr="00A81CA1">
        <w:tblPrEx>
          <w:tblCellMar>
            <w:top w:w="0" w:type="dxa"/>
            <w:bottom w:w="0" w:type="dxa"/>
          </w:tblCellMar>
        </w:tblPrEx>
        <w:trPr>
          <w:trHeight w:hRule="exact" w:val="2028"/>
        </w:trPr>
        <w:tc>
          <w:tcPr>
            <w:tcW w:w="3063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964B3F" w:rsidRDefault="00964B3F"/>
        </w:tc>
        <w:tc>
          <w:tcPr>
            <w:tcW w:w="4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4B3F" w:rsidRDefault="009B217E">
            <w:pPr>
              <w:spacing w:after="146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1243330" cy="119507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64B3F" w:rsidRDefault="00964B3F"/>
        </w:tc>
      </w:tr>
      <w:tr w:rsidR="00964B3F" w:rsidTr="00A81CA1">
        <w:tblPrEx>
          <w:tblCellMar>
            <w:top w:w="0" w:type="dxa"/>
            <w:bottom w:w="0" w:type="dxa"/>
          </w:tblCellMar>
        </w:tblPrEx>
        <w:trPr>
          <w:trHeight w:hRule="exact" w:val="1036"/>
        </w:trPr>
        <w:tc>
          <w:tcPr>
            <w:tcW w:w="306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4B3F" w:rsidRDefault="00964B3F"/>
        </w:tc>
        <w:tc>
          <w:tcPr>
            <w:tcW w:w="4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4B3F" w:rsidRDefault="00A81CA1">
            <w:pPr>
              <w:spacing w:before="152" w:after="448" w:line="429" w:lineRule="exact"/>
              <w:ind w:right="635"/>
              <w:jc w:val="right"/>
              <w:textAlignment w:val="baseline"/>
              <w:rPr>
                <w:rFonts w:eastAsia="Times New Roman"/>
                <w:b/>
                <w:color w:val="000000"/>
                <w:w w:val="85"/>
                <w:sz w:val="41"/>
              </w:rPr>
            </w:pPr>
            <w:r>
              <w:rPr>
                <w:rFonts w:eastAsia="Times New Roman"/>
                <w:b/>
                <w:color w:val="000000"/>
                <w:w w:val="85"/>
                <w:sz w:val="41"/>
              </w:rPr>
              <w:t xml:space="preserve">Senator John </w:t>
            </w:r>
            <w:proofErr w:type="spellStart"/>
            <w:r>
              <w:rPr>
                <w:rFonts w:eastAsia="Times New Roman"/>
                <w:b/>
                <w:color w:val="000000"/>
                <w:w w:val="85"/>
                <w:sz w:val="41"/>
              </w:rPr>
              <w:t>Cognill</w:t>
            </w:r>
            <w:proofErr w:type="spellEnd"/>
          </w:p>
        </w:tc>
        <w:tc>
          <w:tcPr>
            <w:tcW w:w="3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4B3F" w:rsidRDefault="00964B3F">
            <w:pPr>
              <w:spacing w:before="59" w:after="745" w:line="225" w:lineRule="exact"/>
              <w:ind w:right="203"/>
              <w:jc w:val="right"/>
              <w:textAlignment w:val="baseline"/>
              <w:rPr>
                <w:rFonts w:eastAsia="Times New Roman"/>
                <w:color w:val="000000"/>
                <w:sz w:val="20"/>
              </w:rPr>
            </w:pPr>
          </w:p>
        </w:tc>
      </w:tr>
    </w:tbl>
    <w:p w:rsidR="00964B3F" w:rsidRDefault="00964B3F">
      <w:pPr>
        <w:spacing w:after="268" w:line="20" w:lineRule="exact"/>
      </w:pPr>
    </w:p>
    <w:p w:rsidR="00964B3F" w:rsidRDefault="009B217E">
      <w:pPr>
        <w:spacing w:line="269" w:lineRule="exact"/>
        <w:ind w:left="14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November 12, 2019</w:t>
      </w:r>
    </w:p>
    <w:p w:rsidR="00964B3F" w:rsidRDefault="009B217E">
      <w:pPr>
        <w:spacing w:before="246" w:line="271" w:lineRule="exact"/>
        <w:ind w:left="14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Ken Tu, Interdisciplinary Team Leader</w:t>
      </w:r>
    </w:p>
    <w:p w:rsidR="00964B3F" w:rsidRDefault="009B217E">
      <w:pPr>
        <w:spacing w:before="4" w:line="317" w:lineRule="exact"/>
        <w:ind w:left="14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Alaska Roadless Rule, USDA Forest Service </w:t>
      </w:r>
      <w:r>
        <w:rPr>
          <w:rFonts w:eastAsia="Times New Roman"/>
          <w:color w:val="000000"/>
          <w:sz w:val="24"/>
        </w:rPr>
        <w:br/>
        <w:t>PO Box 21628</w:t>
      </w:r>
    </w:p>
    <w:p w:rsidR="00964B3F" w:rsidRDefault="009B217E">
      <w:pPr>
        <w:spacing w:before="44" w:line="271" w:lineRule="exact"/>
        <w:ind w:left="14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Juneau, Alaska 99802-1628</w:t>
      </w:r>
    </w:p>
    <w:p w:rsidR="00964B3F" w:rsidRDefault="009B217E">
      <w:pPr>
        <w:spacing w:before="265" w:line="289" w:lineRule="exact"/>
        <w:ind w:left="144" w:right="216"/>
        <w:jc w:val="both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 xml:space="preserve">Re: </w:t>
      </w:r>
      <w:proofErr w:type="spellStart"/>
      <w:r>
        <w:rPr>
          <w:rFonts w:eastAsia="Times New Roman"/>
          <w:color w:val="000000"/>
          <w:sz w:val="24"/>
          <w:u w:val="single"/>
        </w:rPr>
        <w:t>Tongass</w:t>
      </w:r>
      <w:proofErr w:type="spellEnd"/>
      <w:r>
        <w:rPr>
          <w:rFonts w:eastAsia="Times New Roman"/>
          <w:color w:val="000000"/>
          <w:sz w:val="24"/>
          <w:u w:val="single"/>
        </w:rPr>
        <w:t xml:space="preserve"> National Forest— Support for Alternative 6 and Encouragement to the United States Department of Agriculture (USDA) Forest Service (Service) to Commence a New Revi</w:t>
      </w:r>
      <w:r>
        <w:rPr>
          <w:rFonts w:eastAsia="Times New Roman"/>
          <w:color w:val="000000"/>
          <w:sz w:val="24"/>
          <w:u w:val="single"/>
        </w:rPr>
        <w:t xml:space="preserve">sion Process for the </w:t>
      </w:r>
      <w:proofErr w:type="spellStart"/>
      <w:r>
        <w:rPr>
          <w:rFonts w:eastAsia="Times New Roman"/>
          <w:color w:val="000000"/>
          <w:sz w:val="24"/>
          <w:u w:val="single"/>
        </w:rPr>
        <w:t>Tongass</w:t>
      </w:r>
      <w:proofErr w:type="spellEnd"/>
      <w:r>
        <w:rPr>
          <w:rFonts w:eastAsia="Times New Roman"/>
          <w:color w:val="000000"/>
          <w:sz w:val="24"/>
          <w:u w:val="single"/>
        </w:rPr>
        <w:t xml:space="preserve"> Land Management Plan ((TLMP) (Amended 2016)) to Allow Increased Harvest of Old-Growth Timber</w:t>
      </w:r>
    </w:p>
    <w:p w:rsidR="00964B3F" w:rsidRDefault="009B217E">
      <w:pPr>
        <w:spacing w:before="181" w:line="271" w:lineRule="exact"/>
        <w:ind w:left="144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Dear Mr. Tu:</w:t>
      </w:r>
    </w:p>
    <w:p w:rsidR="00964B3F" w:rsidRDefault="009B217E">
      <w:pPr>
        <w:spacing w:before="242" w:line="317" w:lineRule="exact"/>
        <w:ind w:left="144" w:right="216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This office has reviewed the proposed rulemaking for the </w:t>
      </w:r>
      <w:proofErr w:type="spellStart"/>
      <w:r>
        <w:rPr>
          <w:rFonts w:eastAsia="Times New Roman"/>
          <w:color w:val="000000"/>
          <w:sz w:val="24"/>
        </w:rPr>
        <w:t>Tongass</w:t>
      </w:r>
      <w:proofErr w:type="spellEnd"/>
      <w:r>
        <w:rPr>
          <w:rFonts w:eastAsia="Times New Roman"/>
          <w:color w:val="000000"/>
          <w:sz w:val="24"/>
        </w:rPr>
        <w:t xml:space="preserve"> National Forest on the Federal Register website </w:t>
      </w:r>
      <w:r>
        <w:rPr>
          <w:rFonts w:eastAsia="Times New Roman"/>
          <w:color w:val="000000"/>
          <w:sz w:val="24"/>
          <w:vertAlign w:val="superscript"/>
        </w:rPr>
        <w:t>1</w:t>
      </w:r>
      <w:r>
        <w:rPr>
          <w:rFonts w:eastAsia="Times New Roman"/>
          <w:color w:val="000000"/>
          <w:sz w:val="24"/>
        </w:rPr>
        <w:t xml:space="preserve"> and </w:t>
      </w:r>
      <w:r>
        <w:rPr>
          <w:rFonts w:eastAsia="Times New Roman"/>
          <w:color w:val="000000"/>
          <w:sz w:val="24"/>
          <w:u w:val="single"/>
        </w:rPr>
        <w:t>supports proposed Alternative 6.</w:t>
      </w:r>
      <w:r>
        <w:rPr>
          <w:rFonts w:eastAsia="Times New Roman"/>
          <w:color w:val="000000"/>
          <w:sz w:val="24"/>
        </w:rPr>
        <w:t xml:space="preserve"> In addition to the support for Alternative 6, the Forest Service is encouraged to revise the </w:t>
      </w:r>
      <w:proofErr w:type="spellStart"/>
      <w:r>
        <w:rPr>
          <w:rFonts w:eastAsia="Times New Roman"/>
          <w:color w:val="000000"/>
          <w:sz w:val="24"/>
        </w:rPr>
        <w:t>Tongass</w:t>
      </w:r>
      <w:proofErr w:type="spellEnd"/>
      <w:r>
        <w:rPr>
          <w:rFonts w:eastAsia="Times New Roman"/>
          <w:color w:val="000000"/>
          <w:sz w:val="24"/>
        </w:rPr>
        <w:t xml:space="preserve"> Lan</w:t>
      </w:r>
      <w:r>
        <w:rPr>
          <w:rFonts w:eastAsia="Times New Roman"/>
          <w:color w:val="000000"/>
          <w:sz w:val="24"/>
        </w:rPr>
        <w:t>d Management Plan (TLMP), to allow increased productive harvest of old-growth timber.</w:t>
      </w:r>
    </w:p>
    <w:p w:rsidR="00964B3F" w:rsidRDefault="009B217E">
      <w:pPr>
        <w:tabs>
          <w:tab w:val="left" w:pos="1224"/>
        </w:tabs>
        <w:spacing w:before="285" w:line="274" w:lineRule="exact"/>
        <w:ind w:left="43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I.</w:t>
      </w: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b/>
          <w:color w:val="000000"/>
          <w:sz w:val="24"/>
        </w:rPr>
        <w:t>Support for Alternative 6.</w:t>
      </w:r>
    </w:p>
    <w:p w:rsidR="00964B3F" w:rsidRDefault="009B217E">
      <w:pPr>
        <w:spacing w:before="236" w:line="317" w:lineRule="exact"/>
        <w:ind w:left="144" w:right="216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Substantial weight should be given to the State's official policy preferences for exempting the </w:t>
      </w:r>
      <w:proofErr w:type="spellStart"/>
      <w:r>
        <w:rPr>
          <w:rFonts w:eastAsia="Times New Roman"/>
          <w:color w:val="000000"/>
          <w:sz w:val="24"/>
        </w:rPr>
        <w:t>Tongass</w:t>
      </w:r>
      <w:proofErr w:type="spellEnd"/>
      <w:r>
        <w:rPr>
          <w:rFonts w:eastAsia="Times New Roman"/>
          <w:color w:val="000000"/>
          <w:sz w:val="24"/>
        </w:rPr>
        <w:t xml:space="preserve"> from the Roadless Rule. Here, the Du</w:t>
      </w:r>
      <w:r>
        <w:rPr>
          <w:rFonts w:eastAsia="Times New Roman"/>
          <w:color w:val="000000"/>
          <w:sz w:val="24"/>
        </w:rPr>
        <w:t xml:space="preserve">nleavy Administration and the federal delegation agree that the </w:t>
      </w:r>
      <w:proofErr w:type="spellStart"/>
      <w:r>
        <w:rPr>
          <w:rFonts w:eastAsia="Times New Roman"/>
          <w:color w:val="000000"/>
          <w:sz w:val="24"/>
        </w:rPr>
        <w:t>Tongass</w:t>
      </w:r>
      <w:proofErr w:type="spellEnd"/>
      <w:r>
        <w:rPr>
          <w:rFonts w:eastAsia="Times New Roman"/>
          <w:color w:val="000000"/>
          <w:sz w:val="24"/>
        </w:rPr>
        <w:t xml:space="preserve"> should be exempt.</w:t>
      </w:r>
      <w:r>
        <w:rPr>
          <w:rFonts w:eastAsia="Times New Roman"/>
          <w:color w:val="000000"/>
          <w:sz w:val="24"/>
          <w:vertAlign w:val="superscript"/>
        </w:rPr>
        <w:t>2</w:t>
      </w:r>
      <w:r>
        <w:rPr>
          <w:rFonts w:eastAsia="Times New Roman"/>
          <w:color w:val="000000"/>
          <w:sz w:val="24"/>
        </w:rPr>
        <w:t xml:space="preserve"> Their voices are joined by others in the State Senate, including this one.</w:t>
      </w:r>
    </w:p>
    <w:p w:rsidR="00964B3F" w:rsidRDefault="009B217E">
      <w:pPr>
        <w:spacing w:before="239" w:after="662" w:line="317" w:lineRule="exact"/>
        <w:ind w:left="144" w:right="216"/>
        <w:jc w:val="both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After review of the State's January 19, 2018 petition (including the referenced exhibits),</w:t>
      </w:r>
      <w:r>
        <w:rPr>
          <w:rFonts w:eastAsia="Times New Roman"/>
          <w:color w:val="000000"/>
          <w:spacing w:val="-2"/>
          <w:sz w:val="24"/>
          <w:vertAlign w:val="superscript"/>
        </w:rPr>
        <w:t>3</w:t>
      </w:r>
      <w:r>
        <w:rPr>
          <w:rFonts w:eastAsia="Times New Roman"/>
          <w:color w:val="000000"/>
          <w:spacing w:val="-2"/>
          <w:sz w:val="24"/>
        </w:rPr>
        <w:t xml:space="preserve"> the Forest Service has the basis for a good-faith, reasoned explanation for the current policy </w:t>
      </w:r>
      <w:proofErr w:type="gramStart"/>
      <w:r>
        <w:rPr>
          <w:rFonts w:eastAsia="Times New Roman"/>
          <w:color w:val="000000"/>
          <w:spacing w:val="-2"/>
          <w:sz w:val="24"/>
        </w:rPr>
        <w:t>change.</w:t>
      </w:r>
      <w:proofErr w:type="gramEnd"/>
      <w:r>
        <w:rPr>
          <w:rFonts w:eastAsia="Times New Roman"/>
          <w:color w:val="000000"/>
          <w:spacing w:val="-2"/>
          <w:sz w:val="24"/>
        </w:rPr>
        <w:t xml:space="preserve"> That policy change (proposed by the State) can provide a legal foundation, if the Service so chooses to incorporate. The</w:t>
      </w:r>
    </w:p>
    <w:p w:rsidR="00964B3F" w:rsidRPr="009B217E" w:rsidRDefault="009B217E" w:rsidP="009B217E">
      <w:pPr>
        <w:pStyle w:val="ListParagraph"/>
        <w:numPr>
          <w:ilvl w:val="0"/>
          <w:numId w:val="1"/>
        </w:numPr>
        <w:spacing w:before="130" w:line="231" w:lineRule="exact"/>
        <w:ind w:right="648"/>
        <w:textAlignment w:val="baseline"/>
        <w:rPr>
          <w:rFonts w:eastAsia="Times New Roman"/>
          <w:color w:val="21598A"/>
          <w:sz w:val="20"/>
          <w:u w:val="single"/>
        </w:rPr>
      </w:pPr>
      <w:r>
        <w:pict>
          <v:line id="_x0000_s1030" style="position:absolute;left:0;text-align:left;z-index:251657728;mso-position-horizontal-relative:page;mso-position-vertical-relative:page" from="55.45pt,680.9pt" to="201.4pt,680.9pt" strokecolor="#666766" strokeweight=".7pt">
            <w10:wrap anchorx="page" anchory="page"/>
          </v:line>
        </w:pict>
      </w:r>
      <w:r w:rsidRPr="009B217E">
        <w:rPr>
          <w:rFonts w:eastAsia="Times New Roman"/>
          <w:color w:val="21598A"/>
          <w:sz w:val="20"/>
          <w:u w:val="single"/>
        </w:rPr>
        <w:t>h</w:t>
      </w:r>
      <w:r w:rsidRPr="009B217E">
        <w:rPr>
          <w:rFonts w:eastAsia="Times New Roman"/>
          <w:color w:val="32647F"/>
          <w:sz w:val="20"/>
          <w:u w:val="single"/>
        </w:rPr>
        <w:t xml:space="preserve"> ttps://w</w:t>
      </w:r>
      <w:r w:rsidRPr="009B217E">
        <w:rPr>
          <w:rFonts w:eastAsia="Times New Roman"/>
          <w:color w:val="21598A"/>
          <w:sz w:val="20"/>
          <w:u w:val="single"/>
        </w:rPr>
        <w:t xml:space="preserve"> w </w:t>
      </w:r>
      <w:proofErr w:type="spellStart"/>
      <w:proofErr w:type="gramStart"/>
      <w:r w:rsidRPr="009B217E">
        <w:rPr>
          <w:rFonts w:eastAsia="Times New Roman"/>
          <w:color w:val="21598A"/>
          <w:sz w:val="20"/>
          <w:u w:val="single"/>
        </w:rPr>
        <w:t>w</w:t>
      </w:r>
      <w:proofErr w:type="spellEnd"/>
      <w:r w:rsidRPr="009B217E">
        <w:rPr>
          <w:rFonts w:eastAsia="Times New Roman"/>
          <w:color w:val="21598A"/>
          <w:sz w:val="20"/>
          <w:u w:val="single"/>
        </w:rPr>
        <w:t xml:space="preserve"> .</w:t>
      </w:r>
      <w:proofErr w:type="spellStart"/>
      <w:r w:rsidRPr="009B217E">
        <w:rPr>
          <w:rFonts w:eastAsia="Times New Roman"/>
          <w:color w:val="21598A"/>
          <w:sz w:val="20"/>
          <w:u w:val="single"/>
        </w:rPr>
        <w:t>lederaJregister</w:t>
      </w:r>
      <w:proofErr w:type="spellEnd"/>
      <w:proofErr w:type="gramEnd"/>
      <w:r w:rsidRPr="009B217E">
        <w:rPr>
          <w:rFonts w:eastAsia="Times New Roman"/>
          <w:color w:val="21598A"/>
          <w:sz w:val="20"/>
          <w:u w:val="single"/>
        </w:rPr>
        <w:t>.</w:t>
      </w:r>
      <w:r w:rsidRPr="009B217E">
        <w:rPr>
          <w:rFonts w:eastAsia="Times New Roman"/>
          <w:color w:val="32647F"/>
          <w:sz w:val="20"/>
          <w:u w:val="single"/>
        </w:rPr>
        <w:t xml:space="preserve"> go</w:t>
      </w:r>
      <w:r w:rsidRPr="009B217E">
        <w:rPr>
          <w:rFonts w:eastAsia="Times New Roman"/>
          <w:color w:val="21598A"/>
          <w:sz w:val="20"/>
          <w:u w:val="single"/>
        </w:rPr>
        <w:t xml:space="preserve"> </w:t>
      </w:r>
      <w:proofErr w:type="spellStart"/>
      <w:r w:rsidRPr="009B217E">
        <w:rPr>
          <w:rFonts w:eastAsia="Times New Roman"/>
          <w:color w:val="21598A"/>
          <w:sz w:val="20"/>
          <w:u w:val="single"/>
        </w:rPr>
        <w:t>vidocu</w:t>
      </w:r>
      <w:proofErr w:type="spellEnd"/>
      <w:r w:rsidRPr="009B217E">
        <w:rPr>
          <w:rFonts w:eastAsia="Times New Roman"/>
          <w:color w:val="21598A"/>
          <w:sz w:val="20"/>
          <w:u w:val="single"/>
        </w:rPr>
        <w:t xml:space="preserve"> </w:t>
      </w:r>
      <w:r w:rsidRPr="009B217E">
        <w:rPr>
          <w:rFonts w:eastAsia="Times New Roman"/>
          <w:color w:val="21598A"/>
          <w:sz w:val="16"/>
          <w:u w:val="single"/>
        </w:rPr>
        <w:t xml:space="preserve">Ill </w:t>
      </w:r>
      <w:proofErr w:type="spellStart"/>
      <w:r w:rsidRPr="009B217E">
        <w:rPr>
          <w:rFonts w:eastAsia="Times New Roman"/>
          <w:color w:val="21598A"/>
          <w:sz w:val="20"/>
          <w:u w:val="single"/>
        </w:rPr>
        <w:t>en</w:t>
      </w:r>
      <w:proofErr w:type="spellEnd"/>
      <w:r w:rsidRPr="009B217E">
        <w:rPr>
          <w:rFonts w:eastAsia="Times New Roman"/>
          <w:color w:val="32647F"/>
          <w:sz w:val="20"/>
          <w:u w:val="single"/>
        </w:rPr>
        <w:t xml:space="preserve"> </w:t>
      </w:r>
      <w:proofErr w:type="spellStart"/>
      <w:r w:rsidRPr="009B217E">
        <w:rPr>
          <w:rFonts w:eastAsia="Times New Roman"/>
          <w:color w:val="32647F"/>
          <w:sz w:val="20"/>
          <w:u w:val="single"/>
        </w:rPr>
        <w:t>ts</w:t>
      </w:r>
      <w:proofErr w:type="spellEnd"/>
      <w:r w:rsidRPr="009B217E">
        <w:rPr>
          <w:rFonts w:eastAsia="Times New Roman"/>
          <w:color w:val="32647F"/>
          <w:sz w:val="20"/>
          <w:u w:val="single"/>
        </w:rPr>
        <w:t>/2019/10/</w:t>
      </w:r>
      <w:r w:rsidRPr="009B217E">
        <w:rPr>
          <w:rFonts w:eastAsia="Times New Roman"/>
          <w:color w:val="5F86A4"/>
          <w:sz w:val="20"/>
          <w:u w:val="single"/>
        </w:rPr>
        <w:t xml:space="preserve"> 1</w:t>
      </w:r>
      <w:r w:rsidRPr="009B217E">
        <w:rPr>
          <w:rFonts w:eastAsia="Times New Roman"/>
          <w:color w:val="32647F"/>
          <w:sz w:val="20"/>
          <w:u w:val="single"/>
        </w:rPr>
        <w:t xml:space="preserve"> 7/2019-22638/special-areas-road less-area-conservation-national-</w:t>
      </w:r>
      <w:r w:rsidRPr="009B217E">
        <w:rPr>
          <w:rFonts w:eastAsia="Times New Roman"/>
          <w:color w:val="21598A"/>
          <w:sz w:val="20"/>
          <w:u w:val="single"/>
        </w:rPr>
        <w:t>forest-system-lands-in-</w:t>
      </w:r>
      <w:proofErr w:type="spellStart"/>
      <w:r w:rsidRPr="009B217E">
        <w:rPr>
          <w:rFonts w:eastAsia="Times New Roman"/>
          <w:color w:val="21598A"/>
          <w:sz w:val="20"/>
          <w:u w:val="single"/>
        </w:rPr>
        <w:t>alaska</w:t>
      </w:r>
      <w:proofErr w:type="spellEnd"/>
      <w:r w:rsidRPr="009B217E">
        <w:rPr>
          <w:rFonts w:eastAsia="Times New Roman"/>
          <w:color w:val="000000"/>
          <w:sz w:val="20"/>
        </w:rPr>
        <w:t xml:space="preserve"> (as of November 8, 2019 at 3:12PM).</w:t>
      </w:r>
    </w:p>
    <w:p w:rsidR="00964B3F" w:rsidRDefault="009B217E">
      <w:pPr>
        <w:spacing w:before="3" w:line="227" w:lineRule="exact"/>
        <w:ind w:left="144" w:right="864"/>
        <w:textAlignment w:val="baseline"/>
        <w:rPr>
          <w:rFonts w:eastAsia="Times New Roman"/>
          <w:color w:val="000000"/>
          <w:sz w:val="12"/>
          <w:vertAlign w:val="superscript"/>
        </w:rPr>
      </w:pPr>
      <w:r>
        <w:rPr>
          <w:rFonts w:eastAsia="Times New Roman"/>
          <w:color w:val="000000"/>
          <w:sz w:val="12"/>
          <w:vertAlign w:val="superscript"/>
        </w:rPr>
        <w:t>2</w:t>
      </w:r>
      <w:r>
        <w:rPr>
          <w:rFonts w:eastAsia="Times New Roman"/>
          <w:color w:val="21598A"/>
          <w:sz w:val="20"/>
          <w:u w:val="single"/>
        </w:rPr>
        <w:t xml:space="preserve"> hups://wwvv.murkowsk</w:t>
      </w:r>
      <w:r>
        <w:rPr>
          <w:rFonts w:eastAsia="Times New Roman"/>
          <w:color w:val="32647F"/>
          <w:sz w:val="20"/>
          <w:u w:val="single"/>
        </w:rPr>
        <w:t xml:space="preserve"> </w:t>
      </w:r>
      <w:proofErr w:type="spellStart"/>
      <w:proofErr w:type="gramStart"/>
      <w:r>
        <w:rPr>
          <w:rFonts w:eastAsia="Times New Roman"/>
          <w:color w:val="32647F"/>
          <w:sz w:val="20"/>
          <w:u w:val="single"/>
        </w:rPr>
        <w:t>i</w:t>
      </w:r>
      <w:proofErr w:type="spellEnd"/>
      <w:r>
        <w:rPr>
          <w:rFonts w:eastAsia="Times New Roman"/>
          <w:color w:val="21598A"/>
          <w:sz w:val="20"/>
          <w:u w:val="single"/>
        </w:rPr>
        <w:t xml:space="preserve"> .</w:t>
      </w:r>
      <w:proofErr w:type="gramEnd"/>
      <w:r>
        <w:rPr>
          <w:rFonts w:eastAsia="Times New Roman"/>
          <w:color w:val="21598A"/>
          <w:sz w:val="20"/>
          <w:u w:val="single"/>
        </w:rPr>
        <w:t>senate.gov/press/re</w:t>
      </w:r>
      <w:r>
        <w:rPr>
          <w:rFonts w:eastAsia="Times New Roman"/>
          <w:color w:val="5F86A4"/>
          <w:sz w:val="20"/>
          <w:u w:val="single"/>
        </w:rPr>
        <w:t xml:space="preserve"> I</w:t>
      </w:r>
      <w:r>
        <w:rPr>
          <w:rFonts w:eastAsia="Times New Roman"/>
          <w:color w:val="32647F"/>
          <w:sz w:val="20"/>
          <w:u w:val="single"/>
        </w:rPr>
        <w:t xml:space="preserve"> </w:t>
      </w:r>
      <w:proofErr w:type="spellStart"/>
      <w:r>
        <w:rPr>
          <w:rFonts w:eastAsia="Times New Roman"/>
          <w:color w:val="32647F"/>
          <w:sz w:val="20"/>
          <w:u w:val="single"/>
        </w:rPr>
        <w:t>easeide</w:t>
      </w:r>
      <w:proofErr w:type="spellEnd"/>
      <w:r>
        <w:rPr>
          <w:rFonts w:eastAsia="Times New Roman"/>
          <w:color w:val="32647F"/>
          <w:sz w:val="20"/>
          <w:u w:val="single"/>
        </w:rPr>
        <w:t xml:space="preserve"> </w:t>
      </w:r>
      <w:proofErr w:type="spellStart"/>
      <w:r>
        <w:rPr>
          <w:rFonts w:eastAsia="Times New Roman"/>
          <w:color w:val="32647F"/>
          <w:sz w:val="20"/>
          <w:u w:val="single"/>
        </w:rPr>
        <w:t>iegat</w:t>
      </w:r>
      <w:proofErr w:type="spellEnd"/>
      <w:r>
        <w:rPr>
          <w:rFonts w:eastAsia="Times New Roman"/>
          <w:color w:val="32647F"/>
          <w:sz w:val="20"/>
          <w:u w:val="single"/>
        </w:rPr>
        <w:t xml:space="preserve"> ion-welcomes-draft-of-</w:t>
      </w:r>
      <w:proofErr w:type="spellStart"/>
      <w:r>
        <w:rPr>
          <w:rFonts w:eastAsia="Times New Roman"/>
          <w:color w:val="32647F"/>
          <w:sz w:val="20"/>
          <w:u w:val="single"/>
        </w:rPr>
        <w:t>tongass</w:t>
      </w:r>
      <w:proofErr w:type="spellEnd"/>
      <w:r>
        <w:rPr>
          <w:rFonts w:eastAsia="Times New Roman"/>
          <w:color w:val="32647F"/>
          <w:sz w:val="20"/>
          <w:u w:val="single"/>
        </w:rPr>
        <w:t xml:space="preserve">-spec </w:t>
      </w:r>
      <w:proofErr w:type="spellStart"/>
      <w:r>
        <w:rPr>
          <w:rFonts w:eastAsia="Times New Roman"/>
          <w:color w:val="32647F"/>
          <w:sz w:val="20"/>
          <w:u w:val="single"/>
        </w:rPr>
        <w:t>ific</w:t>
      </w:r>
      <w:proofErr w:type="spellEnd"/>
      <w:r>
        <w:rPr>
          <w:rFonts w:eastAsia="Times New Roman"/>
          <w:color w:val="32647F"/>
          <w:sz w:val="20"/>
          <w:u w:val="single"/>
        </w:rPr>
        <w:t>-roadless-</w:t>
      </w:r>
      <w:proofErr w:type="spellStart"/>
      <w:r>
        <w:rPr>
          <w:rFonts w:eastAsia="Times New Roman"/>
          <w:color w:val="32647F"/>
          <w:sz w:val="20"/>
          <w:u w:val="single"/>
        </w:rPr>
        <w:t>ru</w:t>
      </w:r>
      <w:proofErr w:type="spellEnd"/>
      <w:r>
        <w:rPr>
          <w:rFonts w:eastAsia="Times New Roman"/>
          <w:color w:val="32647F"/>
          <w:sz w:val="20"/>
          <w:u w:val="single"/>
        </w:rPr>
        <w:t xml:space="preserve"> le</w:t>
      </w:r>
      <w:r>
        <w:rPr>
          <w:rFonts w:eastAsia="Times New Roman"/>
          <w:color w:val="000000"/>
          <w:sz w:val="20"/>
        </w:rPr>
        <w:t xml:space="preserve"> (as of November 8, 2019 at 3:12PM).</w:t>
      </w:r>
    </w:p>
    <w:p w:rsidR="00964B3F" w:rsidRDefault="009B217E">
      <w:pPr>
        <w:spacing w:before="11" w:line="225" w:lineRule="exact"/>
        <w:ind w:left="144"/>
        <w:textAlignment w:val="baseline"/>
        <w:rPr>
          <w:rFonts w:eastAsia="Times New Roman"/>
          <w:color w:val="000000"/>
          <w:sz w:val="12"/>
          <w:vertAlign w:val="superscript"/>
        </w:rPr>
      </w:pPr>
      <w:r>
        <w:rPr>
          <w:rFonts w:eastAsia="Times New Roman"/>
          <w:color w:val="000000"/>
          <w:sz w:val="12"/>
          <w:vertAlign w:val="superscript"/>
        </w:rPr>
        <w:t>3</w:t>
      </w:r>
      <w:r>
        <w:rPr>
          <w:rFonts w:eastAsia="Times New Roman"/>
          <w:color w:val="000000"/>
          <w:sz w:val="20"/>
        </w:rPr>
        <w:t xml:space="preserve"> Submitted by DNR Commissioner Mack under Governor Walker and continued by the Dunleavy Administration.</w:t>
      </w:r>
    </w:p>
    <w:p w:rsidR="00964B3F" w:rsidRDefault="00964B3F">
      <w:pPr>
        <w:sectPr w:rsidR="00964B3F">
          <w:pgSz w:w="12298" w:h="15883"/>
          <w:pgMar w:top="840" w:right="784" w:bottom="487" w:left="854" w:header="720" w:footer="720" w:gutter="0"/>
          <w:cols w:space="720"/>
        </w:sectPr>
      </w:pPr>
    </w:p>
    <w:p w:rsidR="00964B3F" w:rsidRDefault="009B217E">
      <w:pPr>
        <w:spacing w:before="5" w:line="234" w:lineRule="exact"/>
        <w:ind w:left="144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lastRenderedPageBreak/>
        <w:t>Letter from Alaska State Senato</w:t>
      </w:r>
      <w:r>
        <w:rPr>
          <w:rFonts w:eastAsia="Times New Roman"/>
          <w:color w:val="000000"/>
          <w:sz w:val="20"/>
        </w:rPr>
        <w:t>r John Coghill</w:t>
      </w:r>
    </w:p>
    <w:p w:rsidR="00964B3F" w:rsidRDefault="009B217E">
      <w:pPr>
        <w:spacing w:line="228" w:lineRule="exact"/>
        <w:ind w:left="144"/>
        <w:textAlignment w:val="baseline"/>
        <w:rPr>
          <w:rFonts w:eastAsia="Times New Roman"/>
          <w:color w:val="000000"/>
          <w:spacing w:val="2"/>
          <w:sz w:val="20"/>
          <w:u w:val="single"/>
        </w:rPr>
      </w:pPr>
      <w:r>
        <w:rPr>
          <w:rFonts w:eastAsia="Times New Roman"/>
          <w:color w:val="000000"/>
          <w:spacing w:val="2"/>
          <w:sz w:val="20"/>
          <w:u w:val="single"/>
        </w:rPr>
        <w:t xml:space="preserve">Re: </w:t>
      </w:r>
      <w:proofErr w:type="spellStart"/>
      <w:r>
        <w:rPr>
          <w:rFonts w:eastAsia="Times New Roman"/>
          <w:color w:val="000000"/>
          <w:spacing w:val="2"/>
          <w:sz w:val="20"/>
          <w:u w:val="single"/>
        </w:rPr>
        <w:t>Tongass</w:t>
      </w:r>
      <w:proofErr w:type="spellEnd"/>
      <w:r>
        <w:rPr>
          <w:rFonts w:eastAsia="Times New Roman"/>
          <w:color w:val="000000"/>
          <w:spacing w:val="2"/>
          <w:sz w:val="20"/>
          <w:u w:val="single"/>
        </w:rPr>
        <w:t xml:space="preserve"> National Forest— Support for Alternative 6 and Encouragement to the United States Department of Agriculture</w:t>
      </w:r>
    </w:p>
    <w:p w:rsidR="00964B3F" w:rsidRDefault="009B217E">
      <w:pPr>
        <w:spacing w:before="2" w:line="228" w:lineRule="exact"/>
        <w:ind w:left="144"/>
        <w:textAlignment w:val="baseline"/>
        <w:rPr>
          <w:rFonts w:eastAsia="Times New Roman"/>
          <w:color w:val="000000"/>
          <w:spacing w:val="3"/>
          <w:sz w:val="20"/>
          <w:u w:val="single"/>
        </w:rPr>
      </w:pPr>
      <w:r>
        <w:rPr>
          <w:rFonts w:eastAsia="Times New Roman"/>
          <w:color w:val="000000"/>
          <w:spacing w:val="3"/>
          <w:sz w:val="20"/>
          <w:u w:val="single"/>
        </w:rPr>
        <w:t xml:space="preserve">(USDA) Forest Service (Service) to Commence a New Revision Process for the </w:t>
      </w:r>
      <w:proofErr w:type="spellStart"/>
      <w:r>
        <w:rPr>
          <w:rFonts w:eastAsia="Times New Roman"/>
          <w:color w:val="000000"/>
          <w:spacing w:val="3"/>
          <w:sz w:val="20"/>
          <w:u w:val="single"/>
        </w:rPr>
        <w:t>Tongass</w:t>
      </w:r>
      <w:proofErr w:type="spellEnd"/>
      <w:r>
        <w:rPr>
          <w:rFonts w:eastAsia="Times New Roman"/>
          <w:color w:val="000000"/>
          <w:spacing w:val="3"/>
          <w:sz w:val="20"/>
          <w:u w:val="single"/>
        </w:rPr>
        <w:t xml:space="preserve"> Land Management Plan ((TLMP)</w:t>
      </w:r>
    </w:p>
    <w:p w:rsidR="00964B3F" w:rsidRDefault="009B217E">
      <w:pPr>
        <w:spacing w:before="1" w:line="234" w:lineRule="exact"/>
        <w:ind w:left="144"/>
        <w:textAlignment w:val="baseline"/>
        <w:rPr>
          <w:rFonts w:eastAsia="Times New Roman"/>
          <w:color w:val="000000"/>
          <w:sz w:val="20"/>
          <w:u w:val="single"/>
        </w:rPr>
      </w:pPr>
      <w:r>
        <w:rPr>
          <w:rFonts w:eastAsia="Times New Roman"/>
          <w:color w:val="000000"/>
          <w:sz w:val="20"/>
          <w:u w:val="single"/>
        </w:rPr>
        <w:t xml:space="preserve">(Amended 2016)) to Allow Increased Harvest of Old-Growth </w:t>
      </w:r>
      <w:r>
        <w:rPr>
          <w:rFonts w:eastAsia="Times New Roman"/>
          <w:color w:val="000000"/>
          <w:sz w:val="20"/>
        </w:rPr>
        <w:t>Timber</w:t>
      </w:r>
      <w:r>
        <w:rPr>
          <w:rFonts w:eastAsia="Times New Roman"/>
          <w:color w:val="000000"/>
          <w:sz w:val="20"/>
          <w:u w:val="single"/>
        </w:rPr>
        <w:t xml:space="preserve"> </w:t>
      </w:r>
    </w:p>
    <w:p w:rsidR="00964B3F" w:rsidRDefault="009B217E">
      <w:pPr>
        <w:spacing w:before="3" w:line="234" w:lineRule="exact"/>
        <w:ind w:left="144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Page </w:t>
      </w:r>
      <w:r>
        <w:rPr>
          <w:rFonts w:eastAsia="Times New Roman"/>
          <w:b/>
          <w:color w:val="000000"/>
          <w:sz w:val="20"/>
        </w:rPr>
        <w:t xml:space="preserve">2 </w:t>
      </w:r>
      <w:r>
        <w:rPr>
          <w:rFonts w:eastAsia="Times New Roman"/>
          <w:color w:val="000000"/>
          <w:sz w:val="20"/>
        </w:rPr>
        <w:t>of 3</w:t>
      </w:r>
    </w:p>
    <w:p w:rsidR="00964B3F" w:rsidRDefault="009B217E">
      <w:pPr>
        <w:spacing w:before="222" w:line="321" w:lineRule="exact"/>
        <w:ind w:left="144" w:right="14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reasoned explanation aligns with the requirements articulated in </w:t>
      </w:r>
      <w:r>
        <w:rPr>
          <w:rFonts w:eastAsia="Times New Roman"/>
          <w:i/>
          <w:color w:val="000000"/>
          <w:sz w:val="24"/>
        </w:rPr>
        <w:t xml:space="preserve">Organized </w:t>
      </w:r>
      <w:proofErr w:type="spellStart"/>
      <w:r>
        <w:rPr>
          <w:rFonts w:eastAsia="Times New Roman"/>
          <w:i/>
          <w:color w:val="000000"/>
          <w:sz w:val="24"/>
        </w:rPr>
        <w:t>Vill</w:t>
      </w:r>
      <w:proofErr w:type="spellEnd"/>
      <w:r>
        <w:rPr>
          <w:rFonts w:eastAsia="Times New Roman"/>
          <w:i/>
          <w:color w:val="000000"/>
          <w:sz w:val="24"/>
        </w:rPr>
        <w:t xml:space="preserve">. of </w:t>
      </w:r>
      <w:proofErr w:type="spellStart"/>
      <w:r>
        <w:rPr>
          <w:rFonts w:eastAsia="Times New Roman"/>
          <w:i/>
          <w:color w:val="000000"/>
          <w:sz w:val="24"/>
        </w:rPr>
        <w:t>Kake</w:t>
      </w:r>
      <w:proofErr w:type="spellEnd"/>
      <w:r>
        <w:rPr>
          <w:rFonts w:eastAsia="Times New Roman"/>
          <w:i/>
          <w:color w:val="000000"/>
          <w:sz w:val="24"/>
        </w:rPr>
        <w:t xml:space="preserve"> v. U.S. Dep't of Agric., </w:t>
      </w:r>
      <w:r>
        <w:rPr>
          <w:rFonts w:eastAsia="Times New Roman"/>
          <w:color w:val="000000"/>
          <w:sz w:val="24"/>
        </w:rPr>
        <w:t>795 F.3d 956 (9th Cir. 2015).</w:t>
      </w:r>
    </w:p>
    <w:p w:rsidR="00964B3F" w:rsidRDefault="009B217E">
      <w:pPr>
        <w:spacing w:before="236" w:line="316" w:lineRule="exact"/>
        <w:ind w:left="144" w:right="14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Legally, as pointed out by the State's petition, Alternative 6 "fits" with the congressional vision found in the</w:t>
      </w:r>
      <w:r>
        <w:rPr>
          <w:rFonts w:eastAsia="Times New Roman"/>
          <w:color w:val="000000"/>
          <w:sz w:val="24"/>
        </w:rPr>
        <w:t xml:space="preserve"> Alaska National Interest Lands Conservation Act (ANILCA)</w:t>
      </w:r>
      <w:r>
        <w:rPr>
          <w:rFonts w:eastAsia="Times New Roman"/>
          <w:color w:val="000000"/>
          <w:sz w:val="24"/>
          <w:vertAlign w:val="superscript"/>
        </w:rPr>
        <w:t>4</w:t>
      </w:r>
      <w:r>
        <w:rPr>
          <w:rFonts w:eastAsia="Times New Roman"/>
          <w:color w:val="000000"/>
          <w:sz w:val="24"/>
        </w:rPr>
        <w:t xml:space="preserve"> and the </w:t>
      </w:r>
      <w:proofErr w:type="spellStart"/>
      <w:r>
        <w:rPr>
          <w:rFonts w:eastAsia="Times New Roman"/>
          <w:color w:val="000000"/>
          <w:sz w:val="24"/>
        </w:rPr>
        <w:t>Tongass</w:t>
      </w:r>
      <w:proofErr w:type="spellEnd"/>
      <w:r>
        <w:rPr>
          <w:rFonts w:eastAsia="Times New Roman"/>
          <w:color w:val="000000"/>
          <w:sz w:val="24"/>
        </w:rPr>
        <w:t xml:space="preserve"> Timber Reform Act (TTRA).</w:t>
      </w:r>
      <w:r>
        <w:rPr>
          <w:rFonts w:eastAsia="Times New Roman"/>
          <w:color w:val="000000"/>
          <w:sz w:val="24"/>
          <w:vertAlign w:val="superscript"/>
        </w:rPr>
        <w:t>5</w:t>
      </w:r>
      <w:r>
        <w:rPr>
          <w:rFonts w:eastAsia="Times New Roman"/>
          <w:color w:val="000000"/>
          <w:sz w:val="24"/>
        </w:rPr>
        <w:t xml:space="preserve"> Both ANILCA and TTRA demonstrate the balance of "conservation" versus "the market demand for timber."</w:t>
      </w:r>
      <w:r>
        <w:rPr>
          <w:rFonts w:eastAsia="Times New Roman"/>
          <w:color w:val="000000"/>
          <w:sz w:val="24"/>
          <w:vertAlign w:val="superscript"/>
        </w:rPr>
        <w:t>6</w:t>
      </w:r>
      <w:r>
        <w:rPr>
          <w:rFonts w:eastAsia="Times New Roman"/>
          <w:color w:val="000000"/>
          <w:sz w:val="24"/>
        </w:rPr>
        <w:t xml:space="preserve"> De facto creation of additional land withdrawals (v</w:t>
      </w:r>
      <w:r>
        <w:rPr>
          <w:rFonts w:eastAsia="Times New Roman"/>
          <w:color w:val="000000"/>
          <w:sz w:val="24"/>
        </w:rPr>
        <w:t>ia implementation of the Roadless Rule (because infrastructure cannot be reasonably developed)), should be avoided.</w:t>
      </w:r>
    </w:p>
    <w:p w:rsidR="00964B3F" w:rsidRDefault="009B217E">
      <w:pPr>
        <w:spacing w:before="241" w:line="318" w:lineRule="exact"/>
        <w:ind w:left="144" w:right="144"/>
        <w:jc w:val="both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t>Alternative 6, if chosen, can be defended. Historically, the USDA defended the "well-reasoned" exemption in its 2010 brief in the Federal District Court of Alaska.</w:t>
      </w:r>
      <w:r>
        <w:rPr>
          <w:rFonts w:eastAsia="Times New Roman"/>
          <w:color w:val="000000"/>
          <w:spacing w:val="1"/>
          <w:sz w:val="24"/>
          <w:vertAlign w:val="superscript"/>
        </w:rPr>
        <w:t>7</w:t>
      </w:r>
      <w:r>
        <w:rPr>
          <w:rFonts w:eastAsia="Times New Roman"/>
          <w:color w:val="000000"/>
          <w:spacing w:val="1"/>
          <w:sz w:val="24"/>
        </w:rPr>
        <w:t xml:space="preserve"> Substantially similar arguments can be made again.</w:t>
      </w:r>
    </w:p>
    <w:p w:rsidR="00964B3F" w:rsidRDefault="009B217E">
      <w:pPr>
        <w:spacing w:before="243" w:line="316" w:lineRule="exact"/>
        <w:ind w:left="144" w:right="14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Noteworthy: the vast majority of the </w:t>
      </w:r>
      <w:proofErr w:type="spellStart"/>
      <w:r>
        <w:rPr>
          <w:rFonts w:eastAsia="Times New Roman"/>
          <w:color w:val="000000"/>
          <w:sz w:val="24"/>
        </w:rPr>
        <w:t>Ton</w:t>
      </w:r>
      <w:r>
        <w:rPr>
          <w:rFonts w:eastAsia="Times New Roman"/>
          <w:color w:val="000000"/>
          <w:sz w:val="24"/>
        </w:rPr>
        <w:t>gass</w:t>
      </w:r>
      <w:proofErr w:type="spellEnd"/>
      <w:r>
        <w:rPr>
          <w:rFonts w:eastAsia="Times New Roman"/>
          <w:color w:val="000000"/>
          <w:sz w:val="24"/>
        </w:rPr>
        <w:t xml:space="preserve"> National Forest already has protective restrictions on road building and timber harvest. These protections will continue irrespective of whether a Roadless Rule is implemented or not. Alternative 6, if implemented, would likely only affect a very smal</w:t>
      </w:r>
      <w:r>
        <w:rPr>
          <w:rFonts w:eastAsia="Times New Roman"/>
          <w:color w:val="000000"/>
          <w:sz w:val="24"/>
        </w:rPr>
        <w:t>l portion of the total forest area.</w:t>
      </w:r>
    </w:p>
    <w:p w:rsidR="00964B3F" w:rsidRDefault="009B217E">
      <w:pPr>
        <w:tabs>
          <w:tab w:val="left" w:pos="1224"/>
        </w:tabs>
        <w:spacing w:before="234" w:line="321" w:lineRule="exact"/>
        <w:ind w:left="1224" w:right="144" w:hanging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II.</w:t>
      </w: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b/>
          <w:color w:val="000000"/>
          <w:sz w:val="24"/>
        </w:rPr>
        <w:t xml:space="preserve">Request for the Forest Service to revise the 2016 </w:t>
      </w:r>
      <w:proofErr w:type="spellStart"/>
      <w:r>
        <w:rPr>
          <w:rFonts w:eastAsia="Times New Roman"/>
          <w:b/>
          <w:color w:val="000000"/>
          <w:sz w:val="24"/>
        </w:rPr>
        <w:t>Tongass</w:t>
      </w:r>
      <w:proofErr w:type="spellEnd"/>
      <w:r>
        <w:rPr>
          <w:rFonts w:eastAsia="Times New Roman"/>
          <w:b/>
          <w:color w:val="000000"/>
          <w:sz w:val="24"/>
        </w:rPr>
        <w:t xml:space="preserve"> Land &amp; Resource Management Plan (TLMP) to Allow Increased Harvest of Old-Growth Timber.</w:t>
      </w:r>
    </w:p>
    <w:p w:rsidR="00964B3F" w:rsidRDefault="009B217E">
      <w:pPr>
        <w:spacing w:before="243" w:line="318" w:lineRule="exact"/>
        <w:ind w:left="144" w:right="14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Support for Alternative 6 is important, but the Forest Service should </w:t>
      </w:r>
      <w:r>
        <w:rPr>
          <w:rFonts w:eastAsia="Times New Roman"/>
          <w:color w:val="000000"/>
          <w:sz w:val="24"/>
        </w:rPr>
        <w:t xml:space="preserve">also recognize that restrictive elements incorporated in the 2016 TLMP (particularly the transition plan to young-growth timber) need to change back to </w:t>
      </w:r>
      <w:r>
        <w:rPr>
          <w:rFonts w:eastAsia="Times New Roman"/>
          <w:color w:val="000000"/>
          <w:sz w:val="24"/>
          <w:u w:val="single"/>
        </w:rPr>
        <w:t>increasing</w:t>
      </w:r>
      <w:r>
        <w:rPr>
          <w:rFonts w:eastAsia="Times New Roman"/>
          <w:color w:val="000000"/>
          <w:sz w:val="24"/>
        </w:rPr>
        <w:t xml:space="preserve"> economically viable harvest of old-growth timber.</w:t>
      </w:r>
      <w:r>
        <w:rPr>
          <w:rFonts w:eastAsia="Times New Roman"/>
          <w:color w:val="000000"/>
          <w:sz w:val="24"/>
          <w:vertAlign w:val="superscript"/>
        </w:rPr>
        <w:t>8</w:t>
      </w:r>
      <w:r>
        <w:rPr>
          <w:rFonts w:eastAsia="Times New Roman"/>
          <w:color w:val="000000"/>
          <w:sz w:val="24"/>
        </w:rPr>
        <w:t xml:space="preserve"> On this front, a change in focus by the Se</w:t>
      </w:r>
      <w:r>
        <w:rPr>
          <w:rFonts w:eastAsia="Times New Roman"/>
          <w:color w:val="000000"/>
          <w:sz w:val="24"/>
        </w:rPr>
        <w:t>rvice would be a "step in the right direction."</w:t>
      </w:r>
    </w:p>
    <w:p w:rsidR="00964B3F" w:rsidRDefault="009B217E">
      <w:pPr>
        <w:spacing w:before="244" w:after="534" w:line="315" w:lineRule="exact"/>
        <w:ind w:left="144" w:right="144"/>
        <w:jc w:val="both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The relationship between the October 17, 2019 proposed rule and the 2016 Forest Plan is referenced on listed page 8 of the proposed rule.</w:t>
      </w:r>
      <w:r>
        <w:rPr>
          <w:rFonts w:eastAsia="Times New Roman"/>
          <w:color w:val="000000"/>
          <w:spacing w:val="-1"/>
          <w:sz w:val="24"/>
          <w:vertAlign w:val="superscript"/>
        </w:rPr>
        <w:t>9</w:t>
      </w:r>
      <w:r>
        <w:rPr>
          <w:rFonts w:eastAsia="Times New Roman"/>
          <w:color w:val="000000"/>
          <w:spacing w:val="-1"/>
          <w:sz w:val="24"/>
        </w:rPr>
        <w:t xml:space="preserve"> Although the proposed rule would direct the </w:t>
      </w:r>
      <w:proofErr w:type="spellStart"/>
      <w:r>
        <w:rPr>
          <w:rFonts w:eastAsia="Times New Roman"/>
          <w:color w:val="000000"/>
          <w:spacing w:val="-1"/>
          <w:sz w:val="24"/>
        </w:rPr>
        <w:t>Tongass</w:t>
      </w:r>
      <w:proofErr w:type="spellEnd"/>
      <w:r>
        <w:rPr>
          <w:rFonts w:eastAsia="Times New Roman"/>
          <w:color w:val="000000"/>
          <w:spacing w:val="-1"/>
          <w:sz w:val="24"/>
        </w:rPr>
        <w:t xml:space="preserve"> Forest Supervisor to provide notice of administrative change to lands "unsuitable" to the 2016 </w:t>
      </w:r>
      <w:proofErr w:type="spellStart"/>
      <w:r>
        <w:rPr>
          <w:rFonts w:eastAsia="Times New Roman"/>
          <w:color w:val="000000"/>
          <w:spacing w:val="-1"/>
          <w:sz w:val="24"/>
        </w:rPr>
        <w:t>Tongass</w:t>
      </w:r>
      <w:proofErr w:type="spellEnd"/>
      <w:r>
        <w:rPr>
          <w:rFonts w:eastAsia="Times New Roman"/>
          <w:color w:val="000000"/>
          <w:spacing w:val="-1"/>
          <w:sz w:val="24"/>
        </w:rPr>
        <w:t xml:space="preserve"> Forest Plan,</w:t>
      </w:r>
      <w:r>
        <w:rPr>
          <w:rFonts w:eastAsia="Times New Roman"/>
          <w:color w:val="000000"/>
          <w:spacing w:val="-1"/>
          <w:sz w:val="24"/>
          <w:vertAlign w:val="superscript"/>
        </w:rPr>
        <w:t>1°</w:t>
      </w:r>
      <w:r>
        <w:rPr>
          <w:rFonts w:eastAsia="Times New Roman"/>
          <w:color w:val="000000"/>
          <w:spacing w:val="-1"/>
          <w:sz w:val="24"/>
        </w:rPr>
        <w:t xml:space="preserve"> all other</w:t>
      </w:r>
    </w:p>
    <w:p w:rsidR="00964B3F" w:rsidRDefault="009B217E">
      <w:pPr>
        <w:spacing w:before="130" w:line="229" w:lineRule="exact"/>
        <w:ind w:left="144" w:right="216"/>
        <w:jc w:val="both"/>
        <w:textAlignment w:val="baseline"/>
        <w:rPr>
          <w:rFonts w:eastAsia="Times New Roman"/>
          <w:i/>
          <w:color w:val="000000"/>
          <w:sz w:val="20"/>
        </w:rPr>
      </w:pPr>
      <w:r>
        <w:pict>
          <v:line id="_x0000_s1029" style="position:absolute;left:0;text-align:left;z-index:251658752;mso-position-horizontal-relative:page;mso-position-vertical-relative:page" from="49.45pt,575.75pt" to="194.95pt,575.75pt" strokecolor="#595959" strokeweight=".7pt">
            <w10:wrap anchorx="page" anchory="page"/>
          </v:line>
        </w:pict>
      </w:r>
      <w:r>
        <w:rPr>
          <w:rFonts w:eastAsia="Times New Roman"/>
          <w:i/>
          <w:color w:val="000000"/>
          <w:sz w:val="20"/>
        </w:rPr>
        <w:t xml:space="preserve">4, </w:t>
      </w:r>
      <w:bookmarkStart w:id="0" w:name="_GoBack"/>
      <w:bookmarkEnd w:id="0"/>
      <w:r>
        <w:rPr>
          <w:rFonts w:eastAsia="Times New Roman"/>
          <w:i/>
          <w:color w:val="000000"/>
          <w:sz w:val="20"/>
        </w:rPr>
        <w:t xml:space="preserve">See </w:t>
      </w:r>
      <w:r>
        <w:rPr>
          <w:rFonts w:eastAsia="Times New Roman"/>
          <w:color w:val="000000"/>
          <w:sz w:val="20"/>
        </w:rPr>
        <w:t>16 USC 410hh-3233, 43 USC 1602-1784; Public Law 96-487, approved Decem</w:t>
      </w:r>
      <w:r>
        <w:rPr>
          <w:rFonts w:eastAsia="Times New Roman"/>
          <w:color w:val="000000"/>
          <w:sz w:val="20"/>
        </w:rPr>
        <w:t xml:space="preserve">ber 2, 1980, (94 Stat. 2371). In ANILCA Congress set aside another 5.5 million acres of the </w:t>
      </w:r>
      <w:proofErr w:type="spellStart"/>
      <w:r>
        <w:rPr>
          <w:rFonts w:eastAsia="Times New Roman"/>
          <w:color w:val="000000"/>
          <w:sz w:val="20"/>
        </w:rPr>
        <w:t>Tongass</w:t>
      </w:r>
      <w:proofErr w:type="spellEnd"/>
      <w:r>
        <w:rPr>
          <w:rFonts w:eastAsia="Times New Roman"/>
          <w:color w:val="000000"/>
          <w:sz w:val="20"/>
        </w:rPr>
        <w:t xml:space="preserve"> wilderness. This additional wilderness "set aside" represented a "proper balance" between restrictive conservation system units and lands appropriate for mo</w:t>
      </w:r>
      <w:r>
        <w:rPr>
          <w:rFonts w:eastAsia="Times New Roman"/>
          <w:color w:val="000000"/>
          <w:sz w:val="20"/>
        </w:rPr>
        <w:t xml:space="preserve">re intensive use. The practical result in the </w:t>
      </w:r>
      <w:proofErr w:type="spellStart"/>
      <w:r>
        <w:rPr>
          <w:rFonts w:eastAsia="Times New Roman"/>
          <w:color w:val="000000"/>
          <w:sz w:val="20"/>
        </w:rPr>
        <w:t>Tongass</w:t>
      </w:r>
      <w:proofErr w:type="spellEnd"/>
      <w:r>
        <w:rPr>
          <w:rFonts w:eastAsia="Times New Roman"/>
          <w:color w:val="000000"/>
          <w:sz w:val="20"/>
        </w:rPr>
        <w:t>? No more restrictive conservation units were needed. In fact, Congress (</w:t>
      </w:r>
      <w:proofErr w:type="gramStart"/>
      <w:r>
        <w:rPr>
          <w:rFonts w:eastAsia="Times New Roman"/>
          <w:color w:val="000000"/>
          <w:sz w:val="20"/>
        </w:rPr>
        <w:t>in an effort to</w:t>
      </w:r>
      <w:proofErr w:type="gramEnd"/>
      <w:r>
        <w:rPr>
          <w:rFonts w:eastAsia="Times New Roman"/>
          <w:color w:val="000000"/>
          <w:sz w:val="20"/>
        </w:rPr>
        <w:t xml:space="preserve"> restraint a, potentially, over-restrictive future executive branch) expressly stated that the executive branch is </w:t>
      </w:r>
      <w:r>
        <w:rPr>
          <w:rFonts w:eastAsia="Times New Roman"/>
          <w:color w:val="000000"/>
          <w:sz w:val="20"/>
        </w:rPr>
        <w:t>prohibited from withdrawing more than five thousand acres within the State of Alaska without the approval of Congress. 16 USC § 3213(a).</w:t>
      </w:r>
    </w:p>
    <w:p w:rsidR="00964B3F" w:rsidRDefault="009B217E">
      <w:pPr>
        <w:spacing w:line="256" w:lineRule="exact"/>
        <w:ind w:left="144" w:right="216"/>
        <w:jc w:val="both"/>
        <w:textAlignment w:val="baseline"/>
        <w:rPr>
          <w:rFonts w:eastAsia="Times New Roman"/>
          <w:i/>
          <w:color w:val="000000"/>
          <w:sz w:val="12"/>
          <w:vertAlign w:val="superscript"/>
        </w:rPr>
      </w:pPr>
      <w:r>
        <w:rPr>
          <w:rFonts w:eastAsia="Times New Roman"/>
          <w:i/>
          <w:color w:val="000000"/>
          <w:sz w:val="12"/>
          <w:vertAlign w:val="superscript"/>
        </w:rPr>
        <w:t>5</w:t>
      </w:r>
      <w:r>
        <w:rPr>
          <w:rFonts w:eastAsia="Times New Roman"/>
          <w:i/>
          <w:color w:val="000000"/>
          <w:sz w:val="20"/>
        </w:rPr>
        <w:t xml:space="preserve"> See </w:t>
      </w:r>
      <w:proofErr w:type="spellStart"/>
      <w:r>
        <w:rPr>
          <w:rFonts w:eastAsia="Times New Roman"/>
          <w:color w:val="000000"/>
          <w:sz w:val="20"/>
        </w:rPr>
        <w:t>Pub.L</w:t>
      </w:r>
      <w:proofErr w:type="spellEnd"/>
      <w:r>
        <w:rPr>
          <w:rFonts w:eastAsia="Times New Roman"/>
          <w:color w:val="000000"/>
          <w:sz w:val="20"/>
        </w:rPr>
        <w:t xml:space="preserve">. No. 101-626, 104 Stat. 4426 (Nov. 28, 1990). The TTRA "imposed additional planning requirements for the </w:t>
      </w:r>
      <w:proofErr w:type="spellStart"/>
      <w:r>
        <w:rPr>
          <w:rFonts w:eastAsia="Times New Roman"/>
          <w:color w:val="000000"/>
          <w:sz w:val="20"/>
        </w:rPr>
        <w:t>To</w:t>
      </w:r>
      <w:r>
        <w:rPr>
          <w:rFonts w:eastAsia="Times New Roman"/>
          <w:color w:val="000000"/>
          <w:sz w:val="20"/>
        </w:rPr>
        <w:t>ngass</w:t>
      </w:r>
      <w:proofErr w:type="spellEnd"/>
      <w:r>
        <w:rPr>
          <w:rFonts w:eastAsia="Times New Roman"/>
          <w:color w:val="000000"/>
          <w:sz w:val="20"/>
        </w:rPr>
        <w:t xml:space="preserve">." </w:t>
      </w:r>
      <w:r>
        <w:rPr>
          <w:rFonts w:eastAsia="Times New Roman"/>
          <w:i/>
          <w:color w:val="000000"/>
          <w:sz w:val="20"/>
        </w:rPr>
        <w:t xml:space="preserve">Natural Res. Def Council v. United States Forest Serv., </w:t>
      </w:r>
      <w:r>
        <w:rPr>
          <w:rFonts w:eastAsia="Times New Roman"/>
          <w:color w:val="000000"/>
          <w:sz w:val="20"/>
        </w:rPr>
        <w:t xml:space="preserve">421 F.3d 797, 801 (9th Cir.2005). Those requirements include, imposing a unique duty by the Forest Service to consider the market demand for timber when crafting a forest plan. </w:t>
      </w:r>
      <w:r>
        <w:rPr>
          <w:rFonts w:eastAsia="Times New Roman"/>
          <w:i/>
          <w:color w:val="000000"/>
          <w:sz w:val="20"/>
        </w:rPr>
        <w:t>See Se. Confere</w:t>
      </w:r>
      <w:r>
        <w:rPr>
          <w:rFonts w:eastAsia="Times New Roman"/>
          <w:i/>
          <w:color w:val="000000"/>
          <w:sz w:val="20"/>
        </w:rPr>
        <w:t xml:space="preserve">nce v. Vilsack, </w:t>
      </w:r>
      <w:r>
        <w:rPr>
          <w:rFonts w:eastAsia="Times New Roman"/>
          <w:color w:val="000000"/>
          <w:sz w:val="20"/>
        </w:rPr>
        <w:t>684 F. Supp. 2d 135, 138 (D.D.C. 2010).</w:t>
      </w:r>
    </w:p>
    <w:p w:rsidR="00964B3F" w:rsidRDefault="009B217E">
      <w:pPr>
        <w:spacing w:before="16" w:line="222" w:lineRule="exact"/>
        <w:ind w:left="144"/>
        <w:textAlignment w:val="baseline"/>
        <w:rPr>
          <w:rFonts w:eastAsia="Times New Roman"/>
          <w:color w:val="000000"/>
          <w:spacing w:val="11"/>
          <w:sz w:val="12"/>
        </w:rPr>
      </w:pPr>
      <w:r>
        <w:rPr>
          <w:rFonts w:eastAsia="Times New Roman"/>
          <w:color w:val="000000"/>
          <w:spacing w:val="11"/>
          <w:sz w:val="12"/>
        </w:rPr>
        <w:t xml:space="preserve">6 </w:t>
      </w:r>
      <w:r>
        <w:rPr>
          <w:rFonts w:eastAsia="Times New Roman"/>
          <w:i/>
          <w:color w:val="000000"/>
          <w:spacing w:val="11"/>
          <w:sz w:val="20"/>
        </w:rPr>
        <w:t>Id.</w:t>
      </w:r>
    </w:p>
    <w:p w:rsidR="00964B3F" w:rsidRDefault="009B217E">
      <w:pPr>
        <w:spacing w:before="23" w:line="234" w:lineRule="exact"/>
        <w:ind w:left="144"/>
        <w:textAlignment w:val="baseline"/>
        <w:rPr>
          <w:rFonts w:eastAsia="Times New Roman"/>
          <w:color w:val="000000"/>
          <w:sz w:val="12"/>
          <w:vertAlign w:val="superscript"/>
        </w:rPr>
      </w:pPr>
      <w:r>
        <w:rPr>
          <w:rFonts w:eastAsia="Times New Roman"/>
          <w:color w:val="000000"/>
          <w:sz w:val="12"/>
          <w:vertAlign w:val="superscript"/>
        </w:rPr>
        <w:t>7</w:t>
      </w:r>
      <w:r>
        <w:rPr>
          <w:rFonts w:eastAsia="Times New Roman"/>
          <w:i/>
          <w:color w:val="000000"/>
          <w:sz w:val="20"/>
        </w:rPr>
        <w:t xml:space="preserve"> See </w:t>
      </w:r>
      <w:r>
        <w:rPr>
          <w:rFonts w:eastAsia="Times New Roman"/>
          <w:color w:val="000000"/>
          <w:sz w:val="20"/>
        </w:rPr>
        <w:t>USDA Brief Ex 2 to Petition.</w:t>
      </w:r>
    </w:p>
    <w:p w:rsidR="00964B3F" w:rsidRDefault="009B217E">
      <w:pPr>
        <w:spacing w:before="10" w:line="234" w:lineRule="exact"/>
        <w:ind w:left="144"/>
        <w:textAlignment w:val="baseline"/>
        <w:rPr>
          <w:rFonts w:eastAsia="Times New Roman"/>
          <w:color w:val="000000"/>
          <w:spacing w:val="-1"/>
          <w:sz w:val="12"/>
          <w:vertAlign w:val="superscript"/>
        </w:rPr>
      </w:pPr>
      <w:r>
        <w:rPr>
          <w:rFonts w:eastAsia="Times New Roman"/>
          <w:color w:val="000000"/>
          <w:spacing w:val="-1"/>
          <w:sz w:val="12"/>
          <w:vertAlign w:val="superscript"/>
        </w:rPr>
        <w:t>8</w:t>
      </w:r>
      <w:r>
        <w:rPr>
          <w:rFonts w:eastAsia="Times New Roman"/>
          <w:i/>
          <w:color w:val="08345F"/>
          <w:spacing w:val="-1"/>
          <w:sz w:val="20"/>
          <w:u w:val="single"/>
        </w:rPr>
        <w:t xml:space="preserve"> Seelittps:11</w:t>
      </w:r>
      <w:proofErr w:type="gramStart"/>
      <w:r>
        <w:rPr>
          <w:rFonts w:eastAsia="Times New Roman"/>
          <w:i/>
          <w:color w:val="08345F"/>
          <w:spacing w:val="-1"/>
          <w:sz w:val="20"/>
          <w:u w:val="single"/>
        </w:rPr>
        <w:t>www</w:t>
      </w:r>
      <w:r>
        <w:rPr>
          <w:rFonts w:eastAsia="Times New Roman"/>
          <w:i/>
          <w:color w:val="215887"/>
          <w:spacing w:val="-1"/>
          <w:sz w:val="20"/>
          <w:u w:val="single"/>
        </w:rPr>
        <w:t xml:space="preserve"> ,</w:t>
      </w:r>
      <w:proofErr w:type="spellStart"/>
      <w:r>
        <w:rPr>
          <w:rFonts w:eastAsia="Times New Roman"/>
          <w:i/>
          <w:color w:val="215887"/>
          <w:spacing w:val="-1"/>
          <w:sz w:val="20"/>
          <w:u w:val="single"/>
        </w:rPr>
        <w:t>Is</w:t>
      </w:r>
      <w:proofErr w:type="gramEnd"/>
      <w:r>
        <w:rPr>
          <w:rFonts w:eastAsia="Times New Roman"/>
          <w:i/>
          <w:color w:val="215887"/>
          <w:spacing w:val="-1"/>
          <w:sz w:val="20"/>
          <w:u w:val="single"/>
        </w:rPr>
        <w:t>.usda.govil</w:t>
      </w:r>
      <w:proofErr w:type="spellEnd"/>
      <w:r>
        <w:rPr>
          <w:rFonts w:eastAsia="Times New Roman"/>
          <w:i/>
          <w:color w:val="215887"/>
          <w:spacing w:val="-1"/>
          <w:sz w:val="20"/>
          <w:u w:val="single"/>
        </w:rPr>
        <w:t xml:space="preserve"> </w:t>
      </w:r>
      <w:proofErr w:type="spellStart"/>
      <w:r>
        <w:rPr>
          <w:rFonts w:eastAsia="Times New Roman"/>
          <w:color w:val="215887"/>
          <w:spacing w:val="-1"/>
          <w:sz w:val="20"/>
          <w:u w:val="single"/>
        </w:rPr>
        <w:t>ntemet</w:t>
      </w:r>
      <w:proofErr w:type="spellEnd"/>
      <w:r>
        <w:rPr>
          <w:rFonts w:eastAsia="Times New Roman"/>
          <w:color w:val="215887"/>
          <w:spacing w:val="-1"/>
          <w:sz w:val="20"/>
          <w:u w:val="single"/>
        </w:rPr>
        <w:t>/FSE_DOCLI M EN Sifseped527907.pdf</w:t>
      </w:r>
      <w:r>
        <w:rPr>
          <w:rFonts w:eastAsia="Times New Roman"/>
          <w:color w:val="000000"/>
          <w:spacing w:val="-1"/>
          <w:sz w:val="20"/>
        </w:rPr>
        <w:t xml:space="preserve"> (as of November 8, 2019 at 3:12PM).</w:t>
      </w:r>
    </w:p>
    <w:p w:rsidR="00964B3F" w:rsidRDefault="009B217E">
      <w:pPr>
        <w:spacing w:before="4" w:line="224" w:lineRule="exact"/>
        <w:ind w:left="144" w:right="432"/>
        <w:textAlignment w:val="baseline"/>
        <w:rPr>
          <w:rFonts w:eastAsia="Times New Roman"/>
          <w:color w:val="000000"/>
          <w:sz w:val="12"/>
          <w:vertAlign w:val="superscript"/>
        </w:rPr>
      </w:pPr>
      <w:r>
        <w:rPr>
          <w:rFonts w:eastAsia="Times New Roman"/>
          <w:color w:val="000000"/>
          <w:sz w:val="12"/>
          <w:vertAlign w:val="superscript"/>
        </w:rPr>
        <w:t>9</w:t>
      </w:r>
      <w:r>
        <w:rPr>
          <w:rFonts w:eastAsia="Times New Roman"/>
          <w:i/>
          <w:color w:val="000000"/>
          <w:sz w:val="20"/>
        </w:rPr>
        <w:t xml:space="preserve"> See</w:t>
      </w:r>
      <w:r>
        <w:rPr>
          <w:rFonts w:eastAsia="Times New Roman"/>
          <w:color w:val="215887"/>
          <w:sz w:val="20"/>
          <w:u w:val="single"/>
        </w:rPr>
        <w:t xml:space="preserve"> IMps://www.federal re_gister.gov/documents/2019/10/17/2019-22638/special-areas-road less-area-conservation-national-</w:t>
      </w:r>
      <w:r>
        <w:rPr>
          <w:rFonts w:eastAsia="Times New Roman"/>
          <w:color w:val="115DAD"/>
          <w:sz w:val="20"/>
          <w:u w:val="single"/>
        </w:rPr>
        <w:t>forest-system-lands-in-</w:t>
      </w:r>
      <w:proofErr w:type="spellStart"/>
      <w:r>
        <w:rPr>
          <w:rFonts w:eastAsia="Times New Roman"/>
          <w:color w:val="115DAD"/>
          <w:sz w:val="20"/>
          <w:u w:val="single"/>
        </w:rPr>
        <w:t>alaska</w:t>
      </w:r>
      <w:proofErr w:type="spellEnd"/>
      <w:r>
        <w:rPr>
          <w:rFonts w:eastAsia="Times New Roman"/>
          <w:color w:val="000000"/>
          <w:sz w:val="20"/>
        </w:rPr>
        <w:t xml:space="preserve"> (as of November 8, 2019 at 3:52PM).</w:t>
      </w:r>
    </w:p>
    <w:p w:rsidR="00964B3F" w:rsidRDefault="009B217E">
      <w:pPr>
        <w:spacing w:before="8" w:line="228" w:lineRule="exact"/>
        <w:ind w:left="144" w:right="216"/>
        <w:jc w:val="both"/>
        <w:textAlignment w:val="baseline"/>
        <w:rPr>
          <w:rFonts w:ascii="Arial" w:eastAsia="Arial" w:hAnsi="Arial"/>
          <w:i/>
          <w:color w:val="000000"/>
          <w:sz w:val="11"/>
          <w:vertAlign w:val="superscript"/>
        </w:rPr>
      </w:pPr>
      <w:r>
        <w:rPr>
          <w:rFonts w:ascii="Arial" w:eastAsia="Arial" w:hAnsi="Arial"/>
          <w:i/>
          <w:color w:val="000000"/>
          <w:sz w:val="11"/>
          <w:vertAlign w:val="superscript"/>
        </w:rPr>
        <w:t>10</w:t>
      </w:r>
      <w:r>
        <w:rPr>
          <w:rFonts w:eastAsia="Times New Roman"/>
          <w:i/>
          <w:color w:val="000000"/>
          <w:sz w:val="20"/>
        </w:rPr>
        <w:t xml:space="preserve"> See </w:t>
      </w:r>
      <w:r>
        <w:rPr>
          <w:rFonts w:eastAsia="Times New Roman"/>
          <w:color w:val="000000"/>
          <w:sz w:val="20"/>
        </w:rPr>
        <w:t>36 CFR 219.13 (/select-citation/2019/10/17/36-CFR-219.</w:t>
      </w:r>
      <w:proofErr w:type="gramStart"/>
      <w:r>
        <w:rPr>
          <w:rFonts w:eastAsia="Times New Roman"/>
          <w:color w:val="000000"/>
          <w:sz w:val="20"/>
        </w:rPr>
        <w:t>13)(</w:t>
      </w:r>
      <w:proofErr w:type="gramEnd"/>
      <w:r>
        <w:rPr>
          <w:rFonts w:eastAsia="Times New Roman"/>
          <w:color w:val="000000"/>
          <w:sz w:val="20"/>
        </w:rPr>
        <w:t xml:space="preserve">c)) and </w:t>
      </w:r>
      <w:proofErr w:type="spellStart"/>
      <w:r>
        <w:rPr>
          <w:rFonts w:eastAsia="Times New Roman"/>
          <w:color w:val="000000"/>
          <w:sz w:val="20"/>
        </w:rPr>
        <w:t>Tongass</w:t>
      </w:r>
      <w:proofErr w:type="spellEnd"/>
      <w:r>
        <w:rPr>
          <w:rFonts w:eastAsia="Times New Roman"/>
          <w:color w:val="000000"/>
          <w:sz w:val="20"/>
        </w:rPr>
        <w:t xml:space="preserve"> Forest Plan, Appendix A: Identification of Lands Suitable for Timber Production and Limitations on Timber Harvest.</w:t>
      </w:r>
    </w:p>
    <w:p w:rsidR="00964B3F" w:rsidRDefault="00964B3F">
      <w:pPr>
        <w:sectPr w:rsidR="00964B3F">
          <w:pgSz w:w="12322" w:h="15902"/>
          <w:pgMar w:top="840" w:right="826" w:bottom="71" w:left="836" w:header="720" w:footer="720" w:gutter="0"/>
          <w:cols w:space="720"/>
        </w:sectPr>
      </w:pPr>
    </w:p>
    <w:p w:rsidR="00964B3F" w:rsidRDefault="009B217E">
      <w:pPr>
        <w:spacing w:before="17" w:line="223" w:lineRule="exact"/>
        <w:ind w:left="144"/>
        <w:textAlignment w:val="baseline"/>
        <w:rPr>
          <w:rFonts w:eastAsia="Times New Roman"/>
          <w:color w:val="000000"/>
          <w:spacing w:val="1"/>
          <w:sz w:val="20"/>
        </w:rPr>
      </w:pPr>
      <w:r>
        <w:rPr>
          <w:rFonts w:eastAsia="Times New Roman"/>
          <w:color w:val="000000"/>
          <w:spacing w:val="1"/>
          <w:sz w:val="20"/>
        </w:rPr>
        <w:lastRenderedPageBreak/>
        <w:t>better from Alaska State Senator John Coghill</w:t>
      </w:r>
    </w:p>
    <w:p w:rsidR="00964B3F" w:rsidRDefault="009B217E">
      <w:pPr>
        <w:spacing w:before="6" w:line="226" w:lineRule="exact"/>
        <w:ind w:left="144"/>
        <w:textAlignment w:val="baseline"/>
        <w:rPr>
          <w:rFonts w:eastAsia="Times New Roman"/>
          <w:color w:val="000000"/>
          <w:spacing w:val="2"/>
          <w:sz w:val="20"/>
          <w:u w:val="single"/>
        </w:rPr>
      </w:pPr>
      <w:r>
        <w:rPr>
          <w:rFonts w:eastAsia="Times New Roman"/>
          <w:color w:val="000000"/>
          <w:spacing w:val="2"/>
          <w:sz w:val="20"/>
          <w:u w:val="single"/>
        </w:rPr>
        <w:t xml:space="preserve">Re: </w:t>
      </w:r>
      <w:proofErr w:type="spellStart"/>
      <w:r>
        <w:rPr>
          <w:rFonts w:eastAsia="Times New Roman"/>
          <w:color w:val="000000"/>
          <w:spacing w:val="2"/>
          <w:sz w:val="20"/>
          <w:u w:val="single"/>
        </w:rPr>
        <w:t>Tongass</w:t>
      </w:r>
      <w:proofErr w:type="spellEnd"/>
      <w:r>
        <w:rPr>
          <w:rFonts w:eastAsia="Times New Roman"/>
          <w:color w:val="000000"/>
          <w:spacing w:val="2"/>
          <w:sz w:val="20"/>
          <w:u w:val="single"/>
        </w:rPr>
        <w:t xml:space="preserve"> National Forest— Support for Alternative 6 and Encouragement to the United States Department of Agriculture</w:t>
      </w:r>
    </w:p>
    <w:p w:rsidR="00964B3F" w:rsidRDefault="009B217E">
      <w:pPr>
        <w:spacing w:before="9" w:line="226" w:lineRule="exact"/>
        <w:ind w:left="144"/>
        <w:textAlignment w:val="baseline"/>
        <w:rPr>
          <w:rFonts w:eastAsia="Times New Roman"/>
          <w:color w:val="000000"/>
          <w:spacing w:val="5"/>
          <w:sz w:val="20"/>
          <w:u w:val="single"/>
        </w:rPr>
      </w:pPr>
      <w:r>
        <w:rPr>
          <w:rFonts w:eastAsia="Times New Roman"/>
          <w:color w:val="000000"/>
          <w:spacing w:val="5"/>
          <w:sz w:val="20"/>
          <w:u w:val="single"/>
        </w:rPr>
        <w:t xml:space="preserve">(USDA) Forest Service (Service) to Commence a New Revision Process for the </w:t>
      </w:r>
      <w:proofErr w:type="spellStart"/>
      <w:r>
        <w:rPr>
          <w:rFonts w:eastAsia="Times New Roman"/>
          <w:color w:val="000000"/>
          <w:spacing w:val="5"/>
          <w:sz w:val="20"/>
          <w:u w:val="single"/>
        </w:rPr>
        <w:t>Tongass</w:t>
      </w:r>
      <w:proofErr w:type="spellEnd"/>
      <w:r>
        <w:rPr>
          <w:rFonts w:eastAsia="Times New Roman"/>
          <w:color w:val="000000"/>
          <w:spacing w:val="5"/>
          <w:sz w:val="20"/>
          <w:u w:val="single"/>
        </w:rPr>
        <w:t xml:space="preserve"> Land Management Plan </w:t>
      </w:r>
      <w:r>
        <w:rPr>
          <w:rFonts w:ascii="Tahoma" w:eastAsia="Tahoma" w:hAnsi="Tahoma"/>
          <w:color w:val="000000"/>
          <w:spacing w:val="5"/>
          <w:u w:val="single"/>
        </w:rPr>
        <w:t>((limn</w:t>
      </w:r>
    </w:p>
    <w:p w:rsidR="00964B3F" w:rsidRDefault="009B217E">
      <w:pPr>
        <w:spacing w:before="3" w:line="226" w:lineRule="exact"/>
        <w:ind w:left="144"/>
        <w:textAlignment w:val="baseline"/>
        <w:rPr>
          <w:rFonts w:eastAsia="Times New Roman"/>
          <w:color w:val="000000"/>
          <w:sz w:val="20"/>
          <w:u w:val="single"/>
        </w:rPr>
      </w:pPr>
      <w:r>
        <w:rPr>
          <w:rFonts w:eastAsia="Times New Roman"/>
          <w:color w:val="000000"/>
          <w:sz w:val="20"/>
          <w:u w:val="single"/>
        </w:rPr>
        <w:t xml:space="preserve">(Amended 2016)) to Allow </w:t>
      </w:r>
      <w:r>
        <w:rPr>
          <w:rFonts w:eastAsia="Times New Roman"/>
          <w:color w:val="000000"/>
          <w:sz w:val="20"/>
          <w:u w:val="single"/>
        </w:rPr>
        <w:t>Increased Harvest of Old-Growth Timber</w:t>
      </w:r>
    </w:p>
    <w:p w:rsidR="00964B3F" w:rsidRDefault="009B217E">
      <w:pPr>
        <w:spacing w:before="6" w:line="223" w:lineRule="exact"/>
        <w:ind w:left="144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Page 3 of 3</w:t>
      </w:r>
    </w:p>
    <w:p w:rsidR="00964B3F" w:rsidRDefault="009B217E">
      <w:pPr>
        <w:spacing w:before="225" w:line="319" w:lineRule="exact"/>
        <w:ind w:left="144" w:right="14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aspects of the Plan would remain operational. Chief among the "operational aspects" is the continued insistence upon a young-growth transition strategy."</w:t>
      </w:r>
    </w:p>
    <w:p w:rsidR="00964B3F" w:rsidRDefault="009B217E">
      <w:pPr>
        <w:spacing w:before="241" w:line="317" w:lineRule="exact"/>
        <w:ind w:left="144" w:right="14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The timber industry is dependent on old-growth harv</w:t>
      </w:r>
      <w:r>
        <w:rPr>
          <w:rFonts w:eastAsia="Times New Roman"/>
          <w:color w:val="000000"/>
          <w:sz w:val="24"/>
        </w:rPr>
        <w:t>est.</w:t>
      </w:r>
      <w:r>
        <w:rPr>
          <w:rFonts w:eastAsia="Times New Roman"/>
          <w:color w:val="000000"/>
          <w:sz w:val="24"/>
          <w:vertAlign w:val="superscript"/>
        </w:rPr>
        <w:t>12</w:t>
      </w:r>
      <w:r>
        <w:rPr>
          <w:rFonts w:eastAsia="Times New Roman"/>
          <w:color w:val="000000"/>
          <w:sz w:val="24"/>
        </w:rPr>
        <w:t xml:space="preserve"> Timber companies still say a full transition to a young-growth industry is 20 years or more away.</w:t>
      </w:r>
      <w:r>
        <w:rPr>
          <w:rFonts w:eastAsia="Times New Roman"/>
          <w:color w:val="000000"/>
          <w:sz w:val="24"/>
          <w:vertAlign w:val="superscript"/>
        </w:rPr>
        <w:t>13</w:t>
      </w:r>
      <w:r>
        <w:rPr>
          <w:rFonts w:eastAsia="Times New Roman"/>
          <w:color w:val="000000"/>
          <w:sz w:val="24"/>
        </w:rPr>
        <w:t xml:space="preserve"> In the meantime, this office agrees with the Ketchikan Chamber of Commerce that young growth transition is "not economically viable."</w:t>
      </w:r>
      <w:r>
        <w:rPr>
          <w:rFonts w:eastAsia="Times New Roman"/>
          <w:color w:val="000000"/>
          <w:sz w:val="24"/>
          <w:vertAlign w:val="superscript"/>
        </w:rPr>
        <w:t>14</w:t>
      </w:r>
      <w:r>
        <w:rPr>
          <w:rFonts w:eastAsia="Times New Roman"/>
          <w:color w:val="000000"/>
          <w:sz w:val="24"/>
        </w:rPr>
        <w:t xml:space="preserve"> </w:t>
      </w:r>
    </w:p>
    <w:p w:rsidR="00964B3F" w:rsidRDefault="009B217E">
      <w:pPr>
        <w:spacing w:before="241" w:line="317" w:lineRule="exact"/>
        <w:ind w:left="144" w:right="14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Economic viability is key. If any underlying policy goal is to meaningfully assist the timber industry in Southeast Al</w:t>
      </w:r>
      <w:r>
        <w:rPr>
          <w:rFonts w:eastAsia="Times New Roman"/>
          <w:color w:val="000000"/>
          <w:sz w:val="24"/>
        </w:rPr>
        <w:t>aska, there must be an emphasis on the "economics of the harvest." If a Roadless Rule exception is implemented, but the harvest isn't economically viable (because of "young growth restrictions") then the industry will continue to struggle.</w:t>
      </w:r>
    </w:p>
    <w:p w:rsidR="00964B3F" w:rsidRDefault="009B217E">
      <w:pPr>
        <w:spacing w:before="244" w:line="315" w:lineRule="exact"/>
        <w:ind w:left="144" w:right="14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To the extent th</w:t>
      </w:r>
      <w:r>
        <w:rPr>
          <w:rFonts w:eastAsia="Times New Roman"/>
          <w:color w:val="000000"/>
          <w:sz w:val="24"/>
        </w:rPr>
        <w:t>at the Forest Service can reconsider the relationship to the proposed rule and the current forest plan (particularly as it relates to old-growth harvest) all the better.</w:t>
      </w:r>
    </w:p>
    <w:p w:rsidR="00964B3F" w:rsidRDefault="009B217E">
      <w:pPr>
        <w:spacing w:before="557" w:line="268" w:lineRule="exact"/>
        <w:ind w:left="525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Sincerely,</w:t>
      </w:r>
    </w:p>
    <w:p w:rsidR="00964B3F" w:rsidRDefault="00964B3F">
      <w:pPr>
        <w:sectPr w:rsidR="00964B3F">
          <w:pgSz w:w="12322" w:h="15902"/>
          <w:pgMar w:top="800" w:right="836" w:bottom="31" w:left="826" w:header="720" w:footer="720" w:gutter="0"/>
          <w:cols w:space="720"/>
        </w:sectPr>
      </w:pPr>
    </w:p>
    <w:p w:rsidR="00964B3F" w:rsidRDefault="009B217E">
      <w:pPr>
        <w:spacing w:before="6856" w:line="288" w:lineRule="exact"/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1.85pt;margin-top:43.9pt;width:187.25pt;height:29.75pt;z-index:-251659776;mso-wrap-distance-left:0;mso-wrap-distance-right:0" stroked="f">
            <v:textbox inset="0,0,0,0">
              <w:txbxContent>
                <w:p w:rsidR="00964B3F" w:rsidRDefault="009B217E">
                  <w:pPr>
                    <w:spacing w:line="225" w:lineRule="exact"/>
                    <w:textAlignment w:val="baseline"/>
                    <w:rPr>
                      <w:rFonts w:eastAsia="Times New Roman"/>
                      <w:color w:val="000000"/>
                      <w:spacing w:val="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2"/>
                      <w:sz w:val="24"/>
                    </w:rPr>
                    <w:t xml:space="preserve">ka </w:t>
                  </w:r>
                  <w:r w:rsidR="00A81CA1">
                    <w:rPr>
                      <w:rFonts w:eastAsia="Times New Roman"/>
                      <w:color w:val="000000"/>
                      <w:spacing w:val="2"/>
                      <w:sz w:val="24"/>
                    </w:rPr>
                    <w:t>State Senator</w:t>
                  </w:r>
                  <w:r>
                    <w:rPr>
                      <w:rFonts w:eastAsia="Times New Roman"/>
                      <w:color w:val="000000"/>
                      <w:spacing w:val="2"/>
                      <w:sz w:val="24"/>
                    </w:rPr>
                    <w:t xml:space="preserve"> John </w:t>
                  </w:r>
                  <w:r>
                    <w:rPr>
                      <w:rFonts w:eastAsia="Times New Roman"/>
                      <w:color w:val="000000"/>
                      <w:spacing w:val="2"/>
                      <w:sz w:val="24"/>
                    </w:rPr>
                    <w:t>Coghill</w:t>
                  </w:r>
                </w:p>
              </w:txbxContent>
            </v:textbox>
          </v:shape>
        </w:pict>
      </w:r>
      <w:r>
        <w:pict>
          <v:shape id="_x0000_s0" o:spid="_x0000_s1028" type="#_x0000_t202" style="position:absolute;margin-left:264.45pt;margin-top:0;width:188.2pt;height:68.4pt;z-index:-251660800;mso-wrap-distance-left:0;mso-wrap-distance-right:0" filled="f" stroked="f">
            <v:textbox inset="0,0,0,0">
              <w:txbxContent>
                <w:p w:rsidR="00964B3F" w:rsidRDefault="009B217E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90140" cy="868680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0140" cy="868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line id="_x0000_s1026" style="position:absolute;z-index:251659776;mso-position-horizontal-relative:text;mso-position-vertical-relative:text" from="13.9pt,356.85pt" to="159.9pt,356.85pt" strokecolor="#575757" strokeweight=".95pt"/>
        </w:pict>
      </w:r>
    </w:p>
    <w:p w:rsidR="00964B3F" w:rsidRDefault="00964B3F">
      <w:pPr>
        <w:sectPr w:rsidR="00964B3F">
          <w:type w:val="continuous"/>
          <w:pgSz w:w="12322" w:h="15902"/>
          <w:pgMar w:top="800" w:right="836" w:bottom="31" w:left="701" w:header="720" w:footer="720" w:gutter="0"/>
          <w:cols w:space="720"/>
        </w:sectPr>
      </w:pPr>
    </w:p>
    <w:p w:rsidR="00964B3F" w:rsidRDefault="009B217E">
      <w:pPr>
        <w:spacing w:before="145" w:line="226" w:lineRule="exact"/>
        <w:ind w:left="288" w:right="288"/>
        <w:textAlignment w:val="baseline"/>
        <w:rPr>
          <w:rFonts w:ascii="Bookman Old Style" w:eastAsia="Bookman Old Style" w:hAnsi="Bookman Old Style"/>
          <w:i/>
          <w:color w:val="000000"/>
          <w:sz w:val="12"/>
          <w:vertAlign w:val="superscript"/>
        </w:rPr>
      </w:pPr>
      <w:r>
        <w:rPr>
          <w:rFonts w:ascii="Bookman Old Style" w:eastAsia="Bookman Old Style" w:hAnsi="Bookman Old Style"/>
          <w:i/>
          <w:color w:val="000000"/>
          <w:sz w:val="12"/>
          <w:vertAlign w:val="superscript"/>
        </w:rPr>
        <w:t>11</w:t>
      </w:r>
      <w:r>
        <w:rPr>
          <w:rFonts w:eastAsia="Times New Roman"/>
          <w:i/>
          <w:color w:val="000000"/>
          <w:sz w:val="20"/>
        </w:rPr>
        <w:t xml:space="preserve"> See</w:t>
      </w:r>
      <w:r>
        <w:rPr>
          <w:rFonts w:eastAsia="Times New Roman"/>
          <w:color w:val="305A88"/>
          <w:sz w:val="20"/>
          <w:u w:val="single"/>
        </w:rPr>
        <w:t xml:space="preserve"> </w:t>
      </w:r>
      <w:hyperlink r:id="rId7">
        <w:r>
          <w:rPr>
            <w:rFonts w:eastAsia="Times New Roman"/>
            <w:color w:val="0000FF"/>
            <w:sz w:val="20"/>
            <w:u w:val="single"/>
          </w:rPr>
          <w:t xml:space="preserve">https://www. </w:t>
        </w:r>
        <w:proofErr w:type="spellStart"/>
        <w:r>
          <w:rPr>
            <w:rFonts w:eastAsia="Times New Roman"/>
            <w:color w:val="0000FF"/>
            <w:sz w:val="20"/>
            <w:u w:val="single"/>
          </w:rPr>
          <w:t>tederalreg</w:t>
        </w:r>
        <w:proofErr w:type="spellEnd"/>
      </w:hyperlink>
      <w:r>
        <w:rPr>
          <w:rFonts w:eastAsia="Times New Roman"/>
          <w:color w:val="305A88"/>
          <w:sz w:val="20"/>
          <w:u w:val="single"/>
        </w:rPr>
        <w:t xml:space="preserve"> </w:t>
      </w:r>
      <w:proofErr w:type="spellStart"/>
      <w:r>
        <w:rPr>
          <w:rFonts w:eastAsia="Times New Roman"/>
          <w:color w:val="305A88"/>
          <w:sz w:val="20"/>
          <w:u w:val="single"/>
        </w:rPr>
        <w:t>i</w:t>
      </w:r>
      <w:proofErr w:type="spellEnd"/>
      <w:r>
        <w:rPr>
          <w:rFonts w:eastAsia="Times New Roman"/>
          <w:color w:val="305A88"/>
          <w:sz w:val="20"/>
          <w:u w:val="single"/>
        </w:rPr>
        <w:t xml:space="preserve"> </w:t>
      </w:r>
      <w:proofErr w:type="spellStart"/>
      <w:r>
        <w:rPr>
          <w:rFonts w:eastAsia="Times New Roman"/>
          <w:color w:val="305A88"/>
          <w:sz w:val="20"/>
          <w:u w:val="single"/>
        </w:rPr>
        <w:t>sten</w:t>
      </w:r>
      <w:proofErr w:type="spellEnd"/>
      <w:r>
        <w:rPr>
          <w:rFonts w:eastAsia="Times New Roman"/>
          <w:color w:val="305A88"/>
          <w:sz w:val="20"/>
          <w:u w:val="single"/>
        </w:rPr>
        <w:t xml:space="preserve"> gov/</w:t>
      </w:r>
      <w:proofErr w:type="spellStart"/>
      <w:r>
        <w:rPr>
          <w:rFonts w:eastAsia="Times New Roman"/>
          <w:color w:val="305A88"/>
          <w:sz w:val="20"/>
          <w:u w:val="single"/>
        </w:rPr>
        <w:t>documen</w:t>
      </w:r>
      <w:proofErr w:type="spellEnd"/>
      <w:r>
        <w:rPr>
          <w:rFonts w:eastAsia="Times New Roman"/>
          <w:color w:val="305A88"/>
          <w:sz w:val="20"/>
          <w:u w:val="single"/>
        </w:rPr>
        <w:t xml:space="preserve"> </w:t>
      </w:r>
      <w:proofErr w:type="spellStart"/>
      <w:r>
        <w:rPr>
          <w:rFonts w:eastAsia="Times New Roman"/>
          <w:color w:val="305A88"/>
          <w:sz w:val="20"/>
          <w:u w:val="single"/>
        </w:rPr>
        <w:t>ts</w:t>
      </w:r>
      <w:proofErr w:type="spellEnd"/>
      <w:r>
        <w:rPr>
          <w:rFonts w:eastAsia="Times New Roman"/>
          <w:color w:val="305A88"/>
          <w:sz w:val="20"/>
          <w:u w:val="single"/>
        </w:rPr>
        <w:t>/201</w:t>
      </w:r>
      <w:r>
        <w:rPr>
          <w:rFonts w:eastAsia="Times New Roman"/>
          <w:color w:val="305A88"/>
          <w:sz w:val="20"/>
          <w:u w:val="single"/>
          <w:vertAlign w:val="superscript"/>
        </w:rPr>
        <w:t>9</w:t>
      </w:r>
      <w:r>
        <w:rPr>
          <w:rFonts w:eastAsia="Times New Roman"/>
          <w:color w:val="305A88"/>
          <w:sz w:val="20"/>
          <w:u w:val="single"/>
        </w:rPr>
        <w:t>/</w:t>
      </w:r>
      <w:r>
        <w:rPr>
          <w:rFonts w:eastAsia="Times New Roman"/>
          <w:color w:val="305A88"/>
          <w:sz w:val="20"/>
          <w:u w:val="single"/>
          <w:vertAlign w:val="subscript"/>
        </w:rPr>
        <w:t>1</w:t>
      </w:r>
      <w:r>
        <w:rPr>
          <w:rFonts w:eastAsia="Times New Roman"/>
          <w:color w:val="305A88"/>
          <w:sz w:val="20"/>
          <w:u w:val="single"/>
        </w:rPr>
        <w:t xml:space="preserve">0/17/2019-22638/spec </w:t>
      </w:r>
      <w:proofErr w:type="spellStart"/>
      <w:r>
        <w:rPr>
          <w:rFonts w:eastAsia="Times New Roman"/>
          <w:color w:val="305A88"/>
          <w:sz w:val="20"/>
          <w:u w:val="single"/>
        </w:rPr>
        <w:t>i</w:t>
      </w:r>
      <w:proofErr w:type="spellEnd"/>
      <w:r>
        <w:rPr>
          <w:rFonts w:eastAsia="Times New Roman"/>
          <w:color w:val="305A88"/>
          <w:sz w:val="20"/>
          <w:u w:val="single"/>
        </w:rPr>
        <w:t xml:space="preserve"> al-areas-road les s-area-</w:t>
      </w:r>
      <w:proofErr w:type="spellStart"/>
      <w:r>
        <w:rPr>
          <w:rFonts w:eastAsia="Times New Roman"/>
          <w:color w:val="305A88"/>
          <w:sz w:val="20"/>
          <w:u w:val="single"/>
        </w:rPr>
        <w:t>conservat</w:t>
      </w:r>
      <w:proofErr w:type="spellEnd"/>
      <w:r>
        <w:rPr>
          <w:rFonts w:eastAsia="Times New Roman"/>
          <w:color w:val="305A88"/>
          <w:sz w:val="20"/>
          <w:u w:val="single"/>
        </w:rPr>
        <w:t xml:space="preserve"> </w:t>
      </w:r>
      <w:proofErr w:type="spellStart"/>
      <w:r>
        <w:rPr>
          <w:rFonts w:eastAsia="Times New Roman"/>
          <w:color w:val="305A88"/>
          <w:sz w:val="20"/>
          <w:u w:val="single"/>
        </w:rPr>
        <w:t>i</w:t>
      </w:r>
      <w:proofErr w:type="spellEnd"/>
      <w:r>
        <w:rPr>
          <w:rFonts w:eastAsia="Times New Roman"/>
          <w:color w:val="305A88"/>
          <w:sz w:val="20"/>
          <w:u w:val="single"/>
        </w:rPr>
        <w:t xml:space="preserve"> on-n </w:t>
      </w:r>
      <w:proofErr w:type="spellStart"/>
      <w:r>
        <w:rPr>
          <w:rFonts w:eastAsia="Times New Roman"/>
          <w:color w:val="305A88"/>
          <w:sz w:val="20"/>
          <w:u w:val="single"/>
        </w:rPr>
        <w:t>ati</w:t>
      </w:r>
      <w:proofErr w:type="spellEnd"/>
      <w:r>
        <w:rPr>
          <w:rFonts w:eastAsia="Times New Roman"/>
          <w:color w:val="305A88"/>
          <w:sz w:val="20"/>
          <w:u w:val="single"/>
        </w:rPr>
        <w:t xml:space="preserve"> on a I-</w:t>
      </w:r>
      <w:r>
        <w:rPr>
          <w:rFonts w:eastAsia="Times New Roman"/>
          <w:color w:val="126CBF"/>
          <w:sz w:val="20"/>
          <w:u w:val="single"/>
        </w:rPr>
        <w:t>forest-system-lands-in-</w:t>
      </w:r>
      <w:proofErr w:type="spellStart"/>
      <w:r>
        <w:rPr>
          <w:rFonts w:eastAsia="Times New Roman"/>
          <w:color w:val="126CBF"/>
          <w:sz w:val="20"/>
          <w:u w:val="single"/>
        </w:rPr>
        <w:t>alaska</w:t>
      </w:r>
      <w:proofErr w:type="spellEnd"/>
      <w:r>
        <w:rPr>
          <w:rFonts w:eastAsia="Times New Roman"/>
          <w:color w:val="000000"/>
          <w:sz w:val="20"/>
        </w:rPr>
        <w:t xml:space="preserve"> at listed page 8 (as of November 8, 2019 at 3:52PM).</w:t>
      </w:r>
    </w:p>
    <w:p w:rsidR="00964B3F" w:rsidRDefault="009B217E">
      <w:pPr>
        <w:spacing w:before="6" w:line="224" w:lineRule="exact"/>
        <w:ind w:left="288"/>
        <w:textAlignment w:val="baseline"/>
        <w:rPr>
          <w:rFonts w:eastAsia="Times New Roman"/>
          <w:color w:val="000000"/>
          <w:sz w:val="13"/>
          <w:vertAlign w:val="superscript"/>
        </w:rPr>
      </w:pPr>
      <w:r>
        <w:rPr>
          <w:rFonts w:eastAsia="Times New Roman"/>
          <w:color w:val="000000"/>
          <w:sz w:val="13"/>
          <w:vertAlign w:val="superscript"/>
        </w:rPr>
        <w:t>12</w:t>
      </w:r>
      <w:r>
        <w:rPr>
          <w:rFonts w:eastAsia="Times New Roman"/>
          <w:i/>
          <w:color w:val="000000"/>
          <w:sz w:val="20"/>
        </w:rPr>
        <w:t xml:space="preserve"> See</w:t>
      </w:r>
      <w:r>
        <w:rPr>
          <w:rFonts w:eastAsia="Times New Roman"/>
          <w:color w:val="305A88"/>
          <w:sz w:val="20"/>
          <w:u w:val="single"/>
        </w:rPr>
        <w:t xml:space="preserve"> </w:t>
      </w:r>
      <w:hyperlink r:id="rId8">
        <w:r>
          <w:rPr>
            <w:rFonts w:eastAsia="Times New Roman"/>
            <w:color w:val="0000FF"/>
            <w:sz w:val="20"/>
            <w:u w:val="single"/>
          </w:rPr>
          <w:t>https://www.eenews.netistorie</w:t>
        </w:r>
        <w:r>
          <w:rPr>
            <w:rFonts w:eastAsia="Times New Roman"/>
            <w:color w:val="0000FF"/>
            <w:sz w:val="20"/>
            <w:u w:val="single"/>
          </w:rPr>
          <w:t>s/1061191089</w:t>
        </w:r>
      </w:hyperlink>
      <w:r>
        <w:rPr>
          <w:rFonts w:eastAsia="Times New Roman"/>
          <w:color w:val="000000"/>
          <w:sz w:val="20"/>
        </w:rPr>
        <w:t xml:space="preserve"> (as of November 8, 2019 at 4:09PM).</w:t>
      </w:r>
    </w:p>
    <w:p w:rsidR="00964B3F" w:rsidRDefault="009B217E">
      <w:pPr>
        <w:spacing w:line="140" w:lineRule="exact"/>
        <w:ind w:left="288"/>
        <w:textAlignment w:val="baseline"/>
        <w:rPr>
          <w:rFonts w:ascii="Bookman Old Style" w:eastAsia="Bookman Old Style" w:hAnsi="Bookman Old Style"/>
          <w:color w:val="000000"/>
          <w:spacing w:val="7"/>
          <w:sz w:val="12"/>
        </w:rPr>
      </w:pPr>
      <w:r>
        <w:rPr>
          <w:rFonts w:ascii="Bookman Old Style" w:eastAsia="Bookman Old Style" w:hAnsi="Bookman Old Style"/>
          <w:color w:val="000000"/>
          <w:spacing w:val="7"/>
          <w:sz w:val="12"/>
        </w:rPr>
        <w:t>13</w:t>
      </w:r>
      <w:r w:rsidR="004B087E">
        <w:rPr>
          <w:rFonts w:ascii="Bookman Old Style" w:eastAsia="Bookman Old Style" w:hAnsi="Bookman Old Style"/>
          <w:color w:val="000000"/>
          <w:spacing w:val="7"/>
          <w:sz w:val="12"/>
        </w:rPr>
        <w:t xml:space="preserve"> ID</w:t>
      </w:r>
    </w:p>
    <w:p w:rsidR="00964B3F" w:rsidRDefault="009B217E">
      <w:pPr>
        <w:spacing w:before="115" w:line="226" w:lineRule="exact"/>
        <w:ind w:left="288"/>
        <w:textAlignment w:val="baseline"/>
        <w:rPr>
          <w:rFonts w:eastAsia="Times New Roman"/>
          <w:color w:val="000000"/>
          <w:sz w:val="13"/>
          <w:vertAlign w:val="superscript"/>
        </w:rPr>
      </w:pPr>
      <w:r>
        <w:rPr>
          <w:rFonts w:eastAsia="Times New Roman"/>
          <w:color w:val="000000"/>
          <w:sz w:val="13"/>
          <w:vertAlign w:val="superscript"/>
        </w:rPr>
        <w:t>14</w:t>
      </w:r>
      <w:r>
        <w:rPr>
          <w:rFonts w:eastAsia="Times New Roman"/>
          <w:i/>
          <w:color w:val="000000"/>
          <w:sz w:val="20"/>
        </w:rPr>
        <w:t xml:space="preserve"> See</w:t>
      </w:r>
      <w:r>
        <w:rPr>
          <w:rFonts w:eastAsia="Times New Roman"/>
          <w:color w:val="305A88"/>
          <w:sz w:val="20"/>
          <w:u w:val="single"/>
        </w:rPr>
        <w:t xml:space="preserve"> htt</w:t>
      </w:r>
      <w:r>
        <w:rPr>
          <w:rFonts w:eastAsia="Times New Roman"/>
          <w:color w:val="305A88"/>
          <w:sz w:val="20"/>
          <w:u w:val="single"/>
        </w:rPr>
        <w:t>ps://</w:t>
      </w:r>
      <w:hyperlink r:id="rId9">
        <w:r>
          <w:rPr>
            <w:rFonts w:eastAsia="Times New Roman"/>
            <w:color w:val="0000FF"/>
            <w:sz w:val="20"/>
            <w:u w:val="single"/>
          </w:rPr>
          <w:t>www.ketchikanchamber.com/t1mp-letter-to-sen-murkowski</w:t>
        </w:r>
      </w:hyperlink>
      <w:r>
        <w:rPr>
          <w:rFonts w:eastAsia="Times New Roman"/>
          <w:color w:val="000000"/>
          <w:sz w:val="20"/>
        </w:rPr>
        <w:t xml:space="preserve"> (as of November 8, 2019 at 4:31PM).</w:t>
      </w:r>
    </w:p>
    <w:sectPr w:rsidR="00964B3F">
      <w:type w:val="continuous"/>
      <w:pgSz w:w="12322" w:h="15902"/>
      <w:pgMar w:top="800" w:right="961" w:bottom="31" w:left="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43E90"/>
    <w:multiLevelType w:val="hybridMultilevel"/>
    <w:tmpl w:val="80DAB382"/>
    <w:lvl w:ilvl="0" w:tplc="6F322A9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B3F"/>
    <w:rsid w:val="004B087E"/>
    <w:rsid w:val="00964B3F"/>
    <w:rsid w:val="009B217E"/>
    <w:rsid w:val="00A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58AC13F"/>
  <w15:docId w15:val="{0B6D7D24-B484-4678-AABB-525C6F09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news.netistories/1061191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deralreg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etchikanchamber.com/t1mp-letter-to-sen-murkow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Buzzeo, Rachel</cp:lastModifiedBy>
  <cp:revision>4</cp:revision>
  <dcterms:created xsi:type="dcterms:W3CDTF">2019-12-02T19:05:00Z</dcterms:created>
  <dcterms:modified xsi:type="dcterms:W3CDTF">2019-12-02T19:11:00Z</dcterms:modified>
</cp:coreProperties>
</file>