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08B" w:rsidRDefault="00C8708B">
      <w:pPr>
        <w:spacing w:before="10" w:after="396"/>
        <w:ind w:left="202" w:right="4811"/>
        <w:textAlignment w:val="baseline"/>
      </w:pPr>
    </w:p>
    <w:p w:rsidR="00C8708B" w:rsidRDefault="001832FC">
      <w:pPr>
        <w:spacing w:before="23" w:line="231" w:lineRule="exact"/>
        <w:ind w:right="180"/>
        <w:jc w:val="right"/>
        <w:textAlignment w:val="baseline"/>
        <w:rPr>
          <w:rFonts w:ascii="Palatino Linotype" w:eastAsia="Palatino Linotype" w:hAnsi="Palatino Linotype"/>
          <w:color w:val="000000"/>
          <w:spacing w:val="3"/>
          <w:sz w:val="20"/>
        </w:rPr>
      </w:pPr>
      <w:r>
        <w:rPr>
          <w:rFonts w:ascii="Palatino Linotype" w:eastAsia="Palatino Linotype" w:hAnsi="Palatino Linotype"/>
          <w:color w:val="000000"/>
          <w:spacing w:val="3"/>
          <w:sz w:val="20"/>
        </w:rPr>
        <w:t>October 30, 2019</w:t>
      </w:r>
    </w:p>
    <w:p w:rsidR="00C8708B" w:rsidRDefault="001832FC">
      <w:pPr>
        <w:spacing w:line="231" w:lineRule="exact"/>
        <w:textAlignment w:val="baseline"/>
        <w:rPr>
          <w:rFonts w:ascii="Palatino Linotype" w:eastAsia="Palatino Linotype" w:hAnsi="Palatino Linotype"/>
          <w:color w:val="000000"/>
          <w:spacing w:val="4"/>
          <w:sz w:val="20"/>
        </w:rPr>
      </w:pPr>
      <w:r>
        <w:rPr>
          <w:rFonts w:ascii="Palatino Linotype" w:eastAsia="Palatino Linotype" w:hAnsi="Palatino Linotype"/>
          <w:color w:val="000000"/>
          <w:spacing w:val="4"/>
          <w:sz w:val="20"/>
        </w:rPr>
        <w:t>USDA Forest Service</w:t>
      </w:r>
    </w:p>
    <w:p w:rsidR="00C8708B" w:rsidRDefault="001832FC">
      <w:pPr>
        <w:spacing w:line="230" w:lineRule="exact"/>
        <w:textAlignment w:val="baseline"/>
        <w:rPr>
          <w:rFonts w:ascii="Palatino Linotype" w:eastAsia="Palatino Linotype" w:hAnsi="Palatino Linotype"/>
          <w:color w:val="000000"/>
          <w:spacing w:val="4"/>
          <w:sz w:val="20"/>
        </w:rPr>
      </w:pPr>
      <w:r>
        <w:rPr>
          <w:rFonts w:ascii="Palatino Linotype" w:eastAsia="Palatino Linotype" w:hAnsi="Palatino Linotype"/>
          <w:color w:val="000000"/>
          <w:spacing w:val="4"/>
          <w:sz w:val="20"/>
        </w:rPr>
        <w:t>Attn: Alaska Roadless Rule</w:t>
      </w:r>
    </w:p>
    <w:p w:rsidR="00C8708B" w:rsidRDefault="001832FC">
      <w:pPr>
        <w:spacing w:line="231" w:lineRule="exact"/>
        <w:textAlignment w:val="baseline"/>
        <w:rPr>
          <w:rFonts w:ascii="Palatino Linotype" w:eastAsia="Palatino Linotype" w:hAnsi="Palatino Linotype"/>
          <w:color w:val="000000"/>
          <w:spacing w:val="3"/>
          <w:sz w:val="20"/>
        </w:rPr>
      </w:pPr>
      <w:r>
        <w:rPr>
          <w:rFonts w:ascii="Palatino Linotype" w:eastAsia="Palatino Linotype" w:hAnsi="Palatino Linotype"/>
          <w:color w:val="000000"/>
          <w:spacing w:val="3"/>
          <w:sz w:val="20"/>
        </w:rPr>
        <w:t>P.O. Box 21628</w:t>
      </w:r>
    </w:p>
    <w:p w:rsidR="00C8708B" w:rsidRDefault="001832FC">
      <w:pPr>
        <w:spacing w:before="11" w:line="231" w:lineRule="exact"/>
        <w:textAlignment w:val="baseline"/>
        <w:rPr>
          <w:rFonts w:ascii="Palatino Linotype" w:eastAsia="Palatino Linotype" w:hAnsi="Palatino Linotype"/>
          <w:color w:val="000000"/>
          <w:spacing w:val="4"/>
          <w:sz w:val="20"/>
        </w:rPr>
      </w:pPr>
      <w:r>
        <w:rPr>
          <w:rFonts w:ascii="Palatino Linotype" w:eastAsia="Palatino Linotype" w:hAnsi="Palatino Linotype"/>
          <w:color w:val="000000"/>
          <w:spacing w:val="4"/>
          <w:sz w:val="20"/>
        </w:rPr>
        <w:t>Juneau, 99802</w:t>
      </w:r>
    </w:p>
    <w:p w:rsidR="00C8708B" w:rsidRDefault="001832FC">
      <w:pPr>
        <w:spacing w:before="19" w:line="231" w:lineRule="exact"/>
        <w:textAlignment w:val="baseline"/>
        <w:rPr>
          <w:rFonts w:ascii="Palatino Linotype" w:eastAsia="Palatino Linotype" w:hAnsi="Palatino Linotype"/>
          <w:color w:val="0000FF"/>
          <w:spacing w:val="1"/>
          <w:sz w:val="21"/>
          <w:u w:val="single"/>
        </w:rPr>
      </w:pPr>
      <w:hyperlink r:id="rId5">
        <w:r>
          <w:rPr>
            <w:rFonts w:ascii="Palatino Linotype" w:eastAsia="Palatino Linotype" w:hAnsi="Palatino Linotype"/>
            <w:color w:val="0000FF"/>
            <w:spacing w:val="1"/>
            <w:sz w:val="21"/>
            <w:u w:val="single"/>
          </w:rPr>
          <w:t>akroadlessrule@fs.fed.us</w:t>
        </w:r>
      </w:hyperlink>
      <w:r>
        <w:rPr>
          <w:rFonts w:ascii="Palatino Linotype" w:eastAsia="Palatino Linotype" w:hAnsi="Palatino Linotype"/>
          <w:color w:val="000000"/>
          <w:spacing w:val="1"/>
          <w:sz w:val="20"/>
        </w:rPr>
        <w:t xml:space="preserve"> </w:t>
      </w:r>
    </w:p>
    <w:p w:rsidR="00C8708B" w:rsidRDefault="001832FC">
      <w:pPr>
        <w:spacing w:before="554" w:line="276" w:lineRule="exact"/>
        <w:ind w:right="432"/>
        <w:textAlignment w:val="baseline"/>
        <w:rPr>
          <w:rFonts w:eastAsia="Times New Roman"/>
          <w:color w:val="000000"/>
          <w:sz w:val="24"/>
        </w:rPr>
      </w:pPr>
      <w:r>
        <w:rPr>
          <w:rFonts w:eastAsia="Times New Roman"/>
          <w:color w:val="000000"/>
          <w:sz w:val="24"/>
        </w:rPr>
        <w:t xml:space="preserve">I wish to indicate my support for </w:t>
      </w:r>
      <w:r>
        <w:rPr>
          <w:rFonts w:eastAsia="Times New Roman"/>
          <w:b/>
          <w:color w:val="000000"/>
          <w:sz w:val="24"/>
        </w:rPr>
        <w:t xml:space="preserve">Alternative 6 </w:t>
      </w:r>
      <w:r>
        <w:rPr>
          <w:rFonts w:eastAsia="Times New Roman"/>
          <w:color w:val="000000"/>
          <w:sz w:val="24"/>
        </w:rPr>
        <w:t xml:space="preserve">in the draft environmental impact statement offering proposals to roadless management in the </w:t>
      </w:r>
      <w:proofErr w:type="spellStart"/>
      <w:r>
        <w:rPr>
          <w:rFonts w:eastAsia="Times New Roman"/>
          <w:color w:val="000000"/>
          <w:sz w:val="24"/>
        </w:rPr>
        <w:t>Tongass</w:t>
      </w:r>
      <w:proofErr w:type="spellEnd"/>
      <w:r>
        <w:rPr>
          <w:rFonts w:eastAsia="Times New Roman"/>
          <w:color w:val="000000"/>
          <w:sz w:val="24"/>
        </w:rPr>
        <w:t xml:space="preserve"> National Forest and a proposed Alaska Roadless Rule.</w:t>
      </w:r>
    </w:p>
    <w:p w:rsidR="00C8708B" w:rsidRDefault="001832FC">
      <w:pPr>
        <w:spacing w:before="277" w:line="275" w:lineRule="exact"/>
        <w:ind w:right="648"/>
        <w:textAlignment w:val="baseline"/>
        <w:rPr>
          <w:rFonts w:eastAsia="Times New Roman"/>
          <w:color w:val="000000"/>
          <w:spacing w:val="-1"/>
          <w:sz w:val="24"/>
        </w:rPr>
      </w:pPr>
      <w:r>
        <w:rPr>
          <w:rFonts w:eastAsia="Times New Roman"/>
          <w:color w:val="000000"/>
          <w:spacing w:val="-1"/>
          <w:sz w:val="24"/>
        </w:rPr>
        <w:t xml:space="preserve">Many are trying to characterize </w:t>
      </w:r>
      <w:r>
        <w:rPr>
          <w:rFonts w:eastAsia="Times New Roman"/>
          <w:b/>
          <w:color w:val="000000"/>
          <w:spacing w:val="-1"/>
          <w:sz w:val="24"/>
        </w:rPr>
        <w:t xml:space="preserve">Alternative 6 </w:t>
      </w:r>
      <w:r>
        <w:rPr>
          <w:rFonts w:eastAsia="Times New Roman"/>
          <w:color w:val="000000"/>
          <w:spacing w:val="-1"/>
          <w:sz w:val="24"/>
        </w:rPr>
        <w:t xml:space="preserve">as about timber and ending protection from clearcutting </w:t>
      </w:r>
      <w:proofErr w:type="gramStart"/>
      <w:r>
        <w:rPr>
          <w:rFonts w:eastAsia="Times New Roman"/>
          <w:color w:val="000000"/>
          <w:spacing w:val="-1"/>
          <w:sz w:val="24"/>
        </w:rPr>
        <w:t>all of</w:t>
      </w:r>
      <w:proofErr w:type="gramEnd"/>
      <w:r>
        <w:rPr>
          <w:rFonts w:eastAsia="Times New Roman"/>
          <w:color w:val="000000"/>
          <w:spacing w:val="-1"/>
          <w:sz w:val="24"/>
        </w:rPr>
        <w:t xml:space="preserve"> the </w:t>
      </w:r>
      <w:proofErr w:type="spellStart"/>
      <w:r>
        <w:rPr>
          <w:rFonts w:eastAsia="Times New Roman"/>
          <w:color w:val="000000"/>
          <w:spacing w:val="-1"/>
          <w:sz w:val="24"/>
        </w:rPr>
        <w:t>Tongass</w:t>
      </w:r>
      <w:proofErr w:type="spellEnd"/>
      <w:r>
        <w:rPr>
          <w:rFonts w:eastAsia="Times New Roman"/>
          <w:color w:val="000000"/>
          <w:spacing w:val="-1"/>
          <w:sz w:val="24"/>
        </w:rPr>
        <w:t xml:space="preserve"> National Forest. That is not the case as timber is protected in the </w:t>
      </w:r>
      <w:proofErr w:type="spellStart"/>
      <w:r>
        <w:rPr>
          <w:rFonts w:eastAsia="Times New Roman"/>
          <w:color w:val="000000"/>
          <w:spacing w:val="-1"/>
          <w:sz w:val="24"/>
        </w:rPr>
        <w:t>Tongass</w:t>
      </w:r>
      <w:proofErr w:type="spellEnd"/>
      <w:r>
        <w:rPr>
          <w:rFonts w:eastAsia="Times New Roman"/>
          <w:color w:val="000000"/>
          <w:spacing w:val="-1"/>
          <w:sz w:val="24"/>
        </w:rPr>
        <w:t xml:space="preserve"> Timber Management Plan. Alternative 6 offers mixed use opportunities for hydro power, thermal power, mining, tourism and other compatible uses, all of which will</w:t>
      </w:r>
      <w:r>
        <w:rPr>
          <w:rFonts w:eastAsia="Times New Roman"/>
          <w:color w:val="000000"/>
          <w:spacing w:val="-1"/>
          <w:sz w:val="24"/>
        </w:rPr>
        <w:t xml:space="preserve"> require permitting.</w:t>
      </w:r>
    </w:p>
    <w:p w:rsidR="00C8708B" w:rsidRDefault="001832FC">
      <w:pPr>
        <w:spacing w:before="273" w:line="279" w:lineRule="exact"/>
        <w:ind w:right="792"/>
        <w:textAlignment w:val="baseline"/>
        <w:rPr>
          <w:rFonts w:eastAsia="Times New Roman"/>
          <w:b/>
          <w:color w:val="000000"/>
          <w:sz w:val="24"/>
        </w:rPr>
      </w:pPr>
      <w:r>
        <w:rPr>
          <w:rFonts w:eastAsia="Times New Roman"/>
          <w:b/>
          <w:color w:val="000000"/>
          <w:sz w:val="24"/>
        </w:rPr>
        <w:t xml:space="preserve">Alternative 6 </w:t>
      </w:r>
      <w:r>
        <w:rPr>
          <w:rFonts w:eastAsia="Times New Roman"/>
          <w:color w:val="000000"/>
          <w:sz w:val="24"/>
        </w:rPr>
        <w:t xml:space="preserve">will provide reasonable access to the </w:t>
      </w:r>
      <w:proofErr w:type="spellStart"/>
      <w:r>
        <w:rPr>
          <w:rFonts w:eastAsia="Times New Roman"/>
          <w:color w:val="000000"/>
          <w:sz w:val="24"/>
        </w:rPr>
        <w:t>Tongass</w:t>
      </w:r>
      <w:proofErr w:type="spellEnd"/>
      <w:r>
        <w:rPr>
          <w:rFonts w:eastAsia="Times New Roman"/>
          <w:color w:val="000000"/>
          <w:sz w:val="24"/>
        </w:rPr>
        <w:t xml:space="preserve"> National Forest and provide needed economic growth for Southeast Alaska.</w:t>
      </w:r>
    </w:p>
    <w:p w:rsidR="00C8708B" w:rsidRDefault="001832FC">
      <w:pPr>
        <w:spacing w:before="279" w:line="273" w:lineRule="exact"/>
        <w:textAlignment w:val="baseline"/>
        <w:rPr>
          <w:rFonts w:eastAsia="Times New Roman"/>
          <w:color w:val="000000"/>
          <w:sz w:val="24"/>
        </w:rPr>
      </w:pPr>
      <w:r>
        <w:rPr>
          <w:rFonts w:eastAsia="Times New Roman"/>
          <w:color w:val="000000"/>
          <w:sz w:val="24"/>
        </w:rPr>
        <w:t>My support for Alternative 6 is based on the following:</w:t>
      </w:r>
    </w:p>
    <w:p w:rsidR="00C8708B" w:rsidRDefault="001832FC">
      <w:pPr>
        <w:numPr>
          <w:ilvl w:val="0"/>
          <w:numId w:val="1"/>
        </w:numPr>
        <w:tabs>
          <w:tab w:val="clear" w:pos="360"/>
          <w:tab w:val="left" w:pos="720"/>
        </w:tabs>
        <w:spacing w:before="279" w:line="273" w:lineRule="exact"/>
        <w:ind w:left="720" w:right="936" w:hanging="360"/>
        <w:jc w:val="both"/>
        <w:textAlignment w:val="baseline"/>
        <w:rPr>
          <w:rFonts w:eastAsia="Times New Roman"/>
          <w:color w:val="000000"/>
          <w:spacing w:val="-1"/>
          <w:sz w:val="24"/>
        </w:rPr>
      </w:pPr>
      <w:r>
        <w:rPr>
          <w:rFonts w:eastAsia="Times New Roman"/>
          <w:color w:val="000000"/>
          <w:spacing w:val="-1"/>
          <w:sz w:val="24"/>
        </w:rPr>
        <w:t>Full exemption from the Roadless Rule has been</w:t>
      </w:r>
      <w:r>
        <w:rPr>
          <w:rFonts w:eastAsia="Times New Roman"/>
          <w:color w:val="000000"/>
          <w:spacing w:val="-1"/>
          <w:sz w:val="24"/>
        </w:rPr>
        <w:t xml:space="preserve"> supported by every Alaskan statewide elected official, Democrat, Independent, and Republican, since its adoption in 2001.</w:t>
      </w:r>
    </w:p>
    <w:p w:rsidR="00C8708B" w:rsidRDefault="001832FC">
      <w:pPr>
        <w:numPr>
          <w:ilvl w:val="0"/>
          <w:numId w:val="1"/>
        </w:numPr>
        <w:tabs>
          <w:tab w:val="clear" w:pos="360"/>
          <w:tab w:val="left" w:pos="720"/>
        </w:tabs>
        <w:spacing w:before="1" w:line="278" w:lineRule="exact"/>
        <w:ind w:left="720" w:right="216" w:hanging="360"/>
        <w:jc w:val="both"/>
        <w:textAlignment w:val="baseline"/>
        <w:rPr>
          <w:rFonts w:eastAsia="Times New Roman"/>
          <w:color w:val="000000"/>
          <w:sz w:val="24"/>
        </w:rPr>
      </w:pPr>
      <w:r>
        <w:rPr>
          <w:rFonts w:eastAsia="Times New Roman"/>
          <w:color w:val="000000"/>
          <w:sz w:val="24"/>
        </w:rPr>
        <w:t xml:space="preserve">Congress set aside 5.5 million acres of the </w:t>
      </w:r>
      <w:proofErr w:type="spellStart"/>
      <w:r>
        <w:rPr>
          <w:rFonts w:eastAsia="Times New Roman"/>
          <w:color w:val="000000"/>
          <w:sz w:val="24"/>
        </w:rPr>
        <w:t>Tongass</w:t>
      </w:r>
      <w:proofErr w:type="spellEnd"/>
      <w:r>
        <w:rPr>
          <w:rFonts w:eastAsia="Times New Roman"/>
          <w:color w:val="000000"/>
          <w:sz w:val="24"/>
        </w:rPr>
        <w:t xml:space="preserve"> as Wilderness in the Alaska National Interest Lands Conservation Act of 1980 (ANILCA) and the </w:t>
      </w:r>
      <w:proofErr w:type="spellStart"/>
      <w:r>
        <w:rPr>
          <w:rFonts w:eastAsia="Times New Roman"/>
          <w:color w:val="000000"/>
          <w:sz w:val="24"/>
        </w:rPr>
        <w:t>Tongass</w:t>
      </w:r>
      <w:proofErr w:type="spellEnd"/>
      <w:r>
        <w:rPr>
          <w:rFonts w:eastAsia="Times New Roman"/>
          <w:color w:val="000000"/>
          <w:sz w:val="24"/>
        </w:rPr>
        <w:t xml:space="preserve"> Timber Reform Act of 1990 (TTRA).</w:t>
      </w:r>
    </w:p>
    <w:p w:rsidR="00C8708B" w:rsidRDefault="001832FC">
      <w:pPr>
        <w:numPr>
          <w:ilvl w:val="0"/>
          <w:numId w:val="1"/>
        </w:numPr>
        <w:tabs>
          <w:tab w:val="clear" w:pos="360"/>
          <w:tab w:val="left" w:pos="720"/>
        </w:tabs>
        <w:spacing w:before="101" w:line="276" w:lineRule="exact"/>
        <w:ind w:left="720" w:right="216" w:hanging="360"/>
        <w:jc w:val="both"/>
        <w:textAlignment w:val="baseline"/>
        <w:rPr>
          <w:rFonts w:eastAsia="Times New Roman"/>
          <w:color w:val="000000"/>
          <w:sz w:val="24"/>
        </w:rPr>
      </w:pPr>
      <w:r>
        <w:rPr>
          <w:rFonts w:eastAsia="Times New Roman"/>
          <w:color w:val="000000"/>
          <w:sz w:val="24"/>
        </w:rPr>
        <w:t xml:space="preserve">The Roadless Rule withdrawals on the </w:t>
      </w:r>
      <w:proofErr w:type="spellStart"/>
      <w:r>
        <w:rPr>
          <w:rFonts w:eastAsia="Times New Roman"/>
          <w:color w:val="000000"/>
          <w:sz w:val="24"/>
        </w:rPr>
        <w:t>Tongass</w:t>
      </w:r>
      <w:proofErr w:type="spellEnd"/>
      <w:r>
        <w:rPr>
          <w:rFonts w:eastAsia="Times New Roman"/>
          <w:color w:val="000000"/>
          <w:sz w:val="24"/>
        </w:rPr>
        <w:t xml:space="preserve"> violate the “No More” s</w:t>
      </w:r>
      <w:r>
        <w:rPr>
          <w:rFonts w:eastAsia="Times New Roman"/>
          <w:color w:val="000000"/>
          <w:sz w:val="24"/>
        </w:rPr>
        <w:t>ection of ANILCA (1326(a) of ANILCA, 16 U.S.C. §3213(a)) by withdrawing more than 5,000 acres of national forest lands within the State of Alaska without complying with ANILCA's statutory requirements.</w:t>
      </w:r>
    </w:p>
    <w:p w:rsidR="00C8708B" w:rsidRDefault="001832FC">
      <w:pPr>
        <w:numPr>
          <w:ilvl w:val="0"/>
          <w:numId w:val="1"/>
        </w:numPr>
        <w:tabs>
          <w:tab w:val="clear" w:pos="360"/>
          <w:tab w:val="left" w:pos="720"/>
        </w:tabs>
        <w:spacing w:before="98" w:line="278" w:lineRule="exact"/>
        <w:ind w:left="720" w:right="216" w:hanging="360"/>
        <w:jc w:val="both"/>
        <w:textAlignment w:val="baseline"/>
        <w:rPr>
          <w:rFonts w:eastAsia="Times New Roman"/>
          <w:color w:val="000000"/>
          <w:sz w:val="24"/>
        </w:rPr>
      </w:pPr>
      <w:r>
        <w:rPr>
          <w:rFonts w:eastAsia="Times New Roman"/>
          <w:color w:val="000000"/>
          <w:sz w:val="24"/>
        </w:rPr>
        <w:t>Unlike all other National Forests subject to the Roadl</w:t>
      </w:r>
      <w:r>
        <w:rPr>
          <w:rFonts w:eastAsia="Times New Roman"/>
          <w:color w:val="000000"/>
          <w:sz w:val="24"/>
        </w:rPr>
        <w:t xml:space="preserve">ess Rule, the </w:t>
      </w:r>
      <w:proofErr w:type="spellStart"/>
      <w:r>
        <w:rPr>
          <w:rFonts w:eastAsia="Times New Roman"/>
          <w:color w:val="000000"/>
          <w:sz w:val="24"/>
        </w:rPr>
        <w:t>Tongass</w:t>
      </w:r>
      <w:proofErr w:type="spellEnd"/>
      <w:r>
        <w:rPr>
          <w:rFonts w:eastAsia="Times New Roman"/>
          <w:color w:val="000000"/>
          <w:sz w:val="24"/>
        </w:rPr>
        <w:t xml:space="preserve"> had undergone two Congressional reviews and a Washington Office, Secretarial review in 1999 that collectively set aside over 6.6 million acres of </w:t>
      </w:r>
      <w:proofErr w:type="spellStart"/>
      <w:r>
        <w:rPr>
          <w:rFonts w:eastAsia="Times New Roman"/>
          <w:color w:val="000000"/>
          <w:sz w:val="24"/>
        </w:rPr>
        <w:t>Tongass</w:t>
      </w:r>
      <w:proofErr w:type="spellEnd"/>
      <w:r>
        <w:rPr>
          <w:rFonts w:eastAsia="Times New Roman"/>
          <w:color w:val="000000"/>
          <w:sz w:val="24"/>
        </w:rPr>
        <w:t xml:space="preserve"> roadless areas as Wilderness and other restrictive land use categories prior to </w:t>
      </w:r>
      <w:r>
        <w:rPr>
          <w:rFonts w:eastAsia="Times New Roman"/>
          <w:color w:val="000000"/>
          <w:sz w:val="24"/>
        </w:rPr>
        <w:t>promulgation of the Roadless Rule.</w:t>
      </w:r>
    </w:p>
    <w:p w:rsidR="00C8708B" w:rsidRDefault="001832FC">
      <w:pPr>
        <w:numPr>
          <w:ilvl w:val="0"/>
          <w:numId w:val="1"/>
        </w:numPr>
        <w:tabs>
          <w:tab w:val="clear" w:pos="360"/>
          <w:tab w:val="left" w:pos="720"/>
        </w:tabs>
        <w:spacing w:before="98" w:line="276" w:lineRule="exact"/>
        <w:ind w:left="720" w:right="216" w:hanging="360"/>
        <w:jc w:val="both"/>
        <w:textAlignment w:val="baseline"/>
        <w:rPr>
          <w:rFonts w:eastAsia="Times New Roman"/>
          <w:color w:val="000000"/>
          <w:sz w:val="24"/>
        </w:rPr>
      </w:pPr>
      <w:r>
        <w:rPr>
          <w:rFonts w:eastAsia="Times New Roman"/>
          <w:color w:val="000000"/>
          <w:sz w:val="24"/>
        </w:rPr>
        <w:t xml:space="preserve">While the 2001 Roadless Rule recognized that the </w:t>
      </w:r>
      <w:proofErr w:type="spellStart"/>
      <w:r>
        <w:rPr>
          <w:rFonts w:eastAsia="Times New Roman"/>
          <w:color w:val="000000"/>
          <w:sz w:val="24"/>
        </w:rPr>
        <w:t>Tongass</w:t>
      </w:r>
      <w:proofErr w:type="spellEnd"/>
      <w:r>
        <w:rPr>
          <w:rFonts w:eastAsia="Times New Roman"/>
          <w:color w:val="000000"/>
          <w:sz w:val="24"/>
        </w:rPr>
        <w:t xml:space="preserve"> was different from other National Forests by analyzing it in a separate section of the EIS and by covering it separately in the Preamble, the Roadless Rule’s genera</w:t>
      </w:r>
      <w:r>
        <w:rPr>
          <w:rFonts w:eastAsia="Times New Roman"/>
          <w:color w:val="000000"/>
          <w:sz w:val="24"/>
        </w:rPr>
        <w:t xml:space="preserve">l statement of Purpose and Need did not explain why a fourth review of the </w:t>
      </w:r>
      <w:proofErr w:type="spellStart"/>
      <w:r>
        <w:rPr>
          <w:rFonts w:eastAsia="Times New Roman"/>
          <w:color w:val="000000"/>
          <w:sz w:val="24"/>
        </w:rPr>
        <w:t>Tongass</w:t>
      </w:r>
      <w:proofErr w:type="spellEnd"/>
      <w:r>
        <w:rPr>
          <w:rFonts w:eastAsia="Times New Roman"/>
          <w:color w:val="000000"/>
          <w:sz w:val="24"/>
        </w:rPr>
        <w:t xml:space="preserve"> roadless areas was needed to achieve the objectives of the Roadless Rule.</w:t>
      </w:r>
    </w:p>
    <w:p w:rsidR="00C8708B" w:rsidRDefault="001832FC">
      <w:pPr>
        <w:numPr>
          <w:ilvl w:val="0"/>
          <w:numId w:val="1"/>
        </w:numPr>
        <w:tabs>
          <w:tab w:val="clear" w:pos="360"/>
          <w:tab w:val="left" w:pos="720"/>
        </w:tabs>
        <w:spacing w:before="97" w:line="278" w:lineRule="exact"/>
        <w:ind w:left="720" w:right="216" w:hanging="360"/>
        <w:jc w:val="both"/>
        <w:textAlignment w:val="baseline"/>
        <w:rPr>
          <w:rFonts w:eastAsia="Times New Roman"/>
          <w:color w:val="000000"/>
          <w:sz w:val="24"/>
        </w:rPr>
      </w:pPr>
      <w:r>
        <w:rPr>
          <w:rFonts w:eastAsia="Times New Roman"/>
          <w:color w:val="000000"/>
          <w:sz w:val="24"/>
        </w:rPr>
        <w:t xml:space="preserve">USDA identified total exemption of the </w:t>
      </w:r>
      <w:proofErr w:type="spellStart"/>
      <w:r>
        <w:rPr>
          <w:rFonts w:eastAsia="Times New Roman"/>
          <w:color w:val="000000"/>
          <w:sz w:val="24"/>
        </w:rPr>
        <w:t>Tongass</w:t>
      </w:r>
      <w:proofErr w:type="spellEnd"/>
      <w:r>
        <w:rPr>
          <w:rFonts w:eastAsia="Times New Roman"/>
          <w:color w:val="000000"/>
          <w:sz w:val="24"/>
        </w:rPr>
        <w:t xml:space="preserve"> as the best alternative during the 2003 Rulemaking b</w:t>
      </w:r>
      <w:r>
        <w:rPr>
          <w:rFonts w:eastAsia="Times New Roman"/>
          <w:color w:val="000000"/>
          <w:sz w:val="24"/>
        </w:rPr>
        <w:t>ecause:</w:t>
      </w:r>
    </w:p>
    <w:p w:rsidR="00C8708B" w:rsidRDefault="00C8708B">
      <w:pPr>
        <w:sectPr w:rsidR="00C8708B">
          <w:pgSz w:w="12240" w:h="15840"/>
          <w:pgMar w:top="720" w:right="920" w:bottom="1524" w:left="1267" w:header="720" w:footer="720" w:gutter="0"/>
          <w:cols w:space="720"/>
        </w:sectPr>
      </w:pPr>
    </w:p>
    <w:p w:rsidR="00C8708B" w:rsidRDefault="001832FC">
      <w:pPr>
        <w:spacing w:before="27" w:line="230" w:lineRule="exact"/>
        <w:ind w:left="792"/>
        <w:textAlignment w:val="baseline"/>
        <w:rPr>
          <w:rFonts w:ascii="Palatino Linotype" w:eastAsia="Palatino Linotype" w:hAnsi="Palatino Linotype"/>
          <w:color w:val="000000"/>
          <w:sz w:val="21"/>
        </w:rPr>
      </w:pPr>
      <w:r>
        <w:rPr>
          <w:rFonts w:ascii="Palatino Linotype" w:eastAsia="Palatino Linotype" w:hAnsi="Palatino Linotype"/>
          <w:color w:val="000000"/>
          <w:sz w:val="21"/>
        </w:rPr>
        <w:lastRenderedPageBreak/>
        <w:t>USDA Forest Service,</w:t>
      </w:r>
    </w:p>
    <w:p w:rsidR="00C8708B" w:rsidRDefault="001832FC">
      <w:pPr>
        <w:spacing w:before="1" w:line="230" w:lineRule="exact"/>
        <w:ind w:left="792"/>
        <w:textAlignment w:val="baseline"/>
        <w:rPr>
          <w:rFonts w:ascii="Palatino Linotype" w:eastAsia="Palatino Linotype" w:hAnsi="Palatino Linotype"/>
          <w:color w:val="000000"/>
          <w:sz w:val="21"/>
        </w:rPr>
      </w:pPr>
      <w:r>
        <w:rPr>
          <w:rFonts w:ascii="Palatino Linotype" w:eastAsia="Palatino Linotype" w:hAnsi="Palatino Linotype"/>
          <w:color w:val="000000"/>
          <w:sz w:val="21"/>
        </w:rPr>
        <w:t xml:space="preserve">Attn: Alaska Roadless Rule </w:t>
      </w:r>
      <w:r>
        <w:rPr>
          <w:rFonts w:ascii="Palatino Linotype" w:eastAsia="Palatino Linotype" w:hAnsi="Palatino Linotype"/>
          <w:color w:val="000000"/>
          <w:sz w:val="21"/>
        </w:rPr>
        <w:br/>
        <w:t>October 30, 2019</w:t>
      </w:r>
    </w:p>
    <w:p w:rsidR="00C8708B" w:rsidRDefault="001832FC">
      <w:pPr>
        <w:spacing w:before="28" w:line="230" w:lineRule="exact"/>
        <w:ind w:left="792"/>
        <w:textAlignment w:val="baseline"/>
        <w:rPr>
          <w:rFonts w:ascii="Palatino Linotype" w:eastAsia="Palatino Linotype" w:hAnsi="Palatino Linotype"/>
          <w:color w:val="000000"/>
          <w:spacing w:val="-1"/>
          <w:sz w:val="21"/>
        </w:rPr>
      </w:pPr>
      <w:r>
        <w:rPr>
          <w:rFonts w:ascii="Palatino Linotype" w:eastAsia="Palatino Linotype" w:hAnsi="Palatino Linotype"/>
          <w:color w:val="000000"/>
          <w:spacing w:val="-1"/>
          <w:sz w:val="21"/>
        </w:rPr>
        <w:t>Page 2</w:t>
      </w:r>
    </w:p>
    <w:p w:rsidR="00C8708B" w:rsidRDefault="001832FC">
      <w:pPr>
        <w:spacing w:before="284" w:line="275" w:lineRule="exact"/>
        <w:ind w:left="2088" w:right="432"/>
        <w:jc w:val="both"/>
        <w:textAlignment w:val="baseline"/>
        <w:rPr>
          <w:rFonts w:eastAsia="Times New Roman"/>
          <w:color w:val="000000"/>
          <w:sz w:val="24"/>
        </w:rPr>
      </w:pPr>
      <w:r>
        <w:rPr>
          <w:rFonts w:eastAsia="Times New Roman"/>
          <w:color w:val="000000"/>
          <w:sz w:val="24"/>
        </w:rPr>
        <w:t xml:space="preserve">The Department has concluded that the social and economic hardships to Southeast Alaska outweigh the potential long-term ecological benefits because the </w:t>
      </w:r>
      <w:proofErr w:type="spellStart"/>
      <w:r>
        <w:rPr>
          <w:rFonts w:eastAsia="Times New Roman"/>
          <w:color w:val="000000"/>
          <w:sz w:val="24"/>
        </w:rPr>
        <w:t>Tongass</w:t>
      </w:r>
      <w:proofErr w:type="spellEnd"/>
      <w:r>
        <w:rPr>
          <w:rFonts w:eastAsia="Times New Roman"/>
          <w:color w:val="000000"/>
          <w:sz w:val="24"/>
        </w:rPr>
        <w:t xml:space="preserve"> Forest plan adequately provides for the ecological sustainability of the </w:t>
      </w:r>
      <w:proofErr w:type="spellStart"/>
      <w:r>
        <w:rPr>
          <w:rFonts w:eastAsia="Times New Roman"/>
          <w:color w:val="000000"/>
          <w:sz w:val="24"/>
        </w:rPr>
        <w:t>Tongass</w:t>
      </w:r>
      <w:proofErr w:type="spellEnd"/>
      <w:r>
        <w:rPr>
          <w:rFonts w:eastAsia="Times New Roman"/>
          <w:color w:val="000000"/>
          <w:sz w:val="24"/>
        </w:rPr>
        <w:t>. Every facet o</w:t>
      </w:r>
      <w:r>
        <w:rPr>
          <w:rFonts w:eastAsia="Times New Roman"/>
          <w:color w:val="000000"/>
          <w:sz w:val="24"/>
        </w:rPr>
        <w:t xml:space="preserve">f Southeast Alaska’s economy is important and the potential adverse impacts from application of the roadless rule are not warranted, given the abundance of roadless areas and protections already afforded in the </w:t>
      </w:r>
      <w:proofErr w:type="spellStart"/>
      <w:r>
        <w:rPr>
          <w:rFonts w:eastAsia="Times New Roman"/>
          <w:color w:val="000000"/>
          <w:sz w:val="24"/>
        </w:rPr>
        <w:t>Tongass</w:t>
      </w:r>
      <w:proofErr w:type="spellEnd"/>
      <w:r>
        <w:rPr>
          <w:rFonts w:eastAsia="Times New Roman"/>
          <w:color w:val="000000"/>
          <w:sz w:val="24"/>
        </w:rPr>
        <w:t xml:space="preserve"> Forest</w:t>
      </w:r>
    </w:p>
    <w:p w:rsidR="00C8708B" w:rsidRDefault="001832FC">
      <w:pPr>
        <w:spacing w:before="1" w:line="277" w:lineRule="exact"/>
        <w:ind w:left="1224" w:right="432" w:hanging="432"/>
        <w:jc w:val="both"/>
        <w:textAlignment w:val="baseline"/>
        <w:rPr>
          <w:rFonts w:eastAsia="Times New Roman"/>
          <w:color w:val="000000"/>
          <w:sz w:val="24"/>
        </w:rPr>
      </w:pPr>
      <w:r>
        <w:rPr>
          <w:rFonts w:eastAsia="Times New Roman"/>
          <w:color w:val="000000"/>
          <w:sz w:val="24"/>
        </w:rPr>
        <w:t xml:space="preserve">7. The combined effect of the </w:t>
      </w:r>
      <w:r>
        <w:rPr>
          <w:rFonts w:eastAsia="Times New Roman"/>
          <w:color w:val="000000"/>
          <w:sz w:val="24"/>
        </w:rPr>
        <w:t>ANILCA, TTRA, and Roadless Area designations has been to deny access to Roadless Areas for timber harvest, make access for renewable energy project and mining exploration and development difficult as a practical matter, and to inhibit transportation in Sou</w:t>
      </w:r>
      <w:r>
        <w:rPr>
          <w:rFonts w:eastAsia="Times New Roman"/>
          <w:color w:val="000000"/>
          <w:sz w:val="24"/>
        </w:rPr>
        <w:t>theast Alaska:</w:t>
      </w:r>
    </w:p>
    <w:p w:rsidR="00C8708B" w:rsidRDefault="001832FC">
      <w:pPr>
        <w:numPr>
          <w:ilvl w:val="0"/>
          <w:numId w:val="2"/>
        </w:numPr>
        <w:tabs>
          <w:tab w:val="clear" w:pos="360"/>
          <w:tab w:val="left" w:pos="1944"/>
        </w:tabs>
        <w:spacing w:before="97" w:line="278" w:lineRule="exact"/>
        <w:ind w:left="1944" w:right="432" w:hanging="360"/>
        <w:jc w:val="both"/>
        <w:textAlignment w:val="baseline"/>
        <w:rPr>
          <w:rFonts w:eastAsia="Times New Roman"/>
          <w:color w:val="000000"/>
          <w:sz w:val="24"/>
        </w:rPr>
      </w:pPr>
      <w:r>
        <w:rPr>
          <w:rFonts w:eastAsia="Times New Roman"/>
          <w:color w:val="000000"/>
          <w:sz w:val="24"/>
        </w:rPr>
        <w:t>Roads for access for timber harvest are not allowed. The timber industry which supported 4200 jobs in Southeast Alaska in 1992 is now reduced to one medium sized sawmill and 300 jobs;</w:t>
      </w:r>
    </w:p>
    <w:p w:rsidR="00C8708B" w:rsidRDefault="001832FC">
      <w:pPr>
        <w:numPr>
          <w:ilvl w:val="0"/>
          <w:numId w:val="2"/>
        </w:numPr>
        <w:tabs>
          <w:tab w:val="clear" w:pos="360"/>
          <w:tab w:val="left" w:pos="1944"/>
        </w:tabs>
        <w:spacing w:before="97" w:line="277" w:lineRule="exact"/>
        <w:ind w:left="1944" w:right="432" w:hanging="360"/>
        <w:jc w:val="both"/>
        <w:textAlignment w:val="baseline"/>
        <w:rPr>
          <w:rFonts w:eastAsia="Times New Roman"/>
          <w:color w:val="000000"/>
          <w:sz w:val="24"/>
        </w:rPr>
      </w:pPr>
      <w:r>
        <w:rPr>
          <w:rFonts w:eastAsia="Times New Roman"/>
          <w:color w:val="000000"/>
          <w:sz w:val="24"/>
        </w:rPr>
        <w:t>While “reasonable” access is not prohibited for mining in</w:t>
      </w:r>
      <w:r>
        <w:rPr>
          <w:rFonts w:eastAsia="Times New Roman"/>
          <w:color w:val="000000"/>
          <w:sz w:val="24"/>
        </w:rPr>
        <w:t xml:space="preserve"> Roadless Areas, mining companies often need </w:t>
      </w:r>
      <w:r>
        <w:rPr>
          <w:rFonts w:eastAsia="Times New Roman"/>
          <w:b/>
          <w:i/>
          <w:color w:val="000000"/>
          <w:sz w:val="24"/>
        </w:rPr>
        <w:t xml:space="preserve">road access </w:t>
      </w:r>
      <w:r>
        <w:rPr>
          <w:rFonts w:eastAsia="Times New Roman"/>
          <w:color w:val="000000"/>
          <w:sz w:val="24"/>
        </w:rPr>
        <w:t>to get heavy equipment from tidewater to a Project site or to otherwise proceed with economically exploring and developing a mine or a hydro facility. (e.g. equipment is too large to be slung to a si</w:t>
      </w:r>
      <w:r>
        <w:rPr>
          <w:rFonts w:eastAsia="Times New Roman"/>
          <w:color w:val="000000"/>
          <w:sz w:val="24"/>
        </w:rPr>
        <w:t>te by helicopter).</w:t>
      </w:r>
    </w:p>
    <w:p w:rsidR="00C8708B" w:rsidRDefault="001832FC">
      <w:pPr>
        <w:numPr>
          <w:ilvl w:val="0"/>
          <w:numId w:val="2"/>
        </w:numPr>
        <w:tabs>
          <w:tab w:val="clear" w:pos="360"/>
          <w:tab w:val="left" w:pos="1944"/>
        </w:tabs>
        <w:spacing w:before="92" w:line="278" w:lineRule="exact"/>
        <w:ind w:left="1944" w:right="432" w:hanging="360"/>
        <w:jc w:val="both"/>
        <w:textAlignment w:val="baseline"/>
        <w:rPr>
          <w:rFonts w:eastAsia="Times New Roman"/>
          <w:color w:val="000000"/>
          <w:sz w:val="24"/>
        </w:rPr>
      </w:pPr>
      <w:r>
        <w:rPr>
          <w:rFonts w:eastAsia="Times New Roman"/>
          <w:color w:val="000000"/>
          <w:sz w:val="24"/>
        </w:rPr>
        <w:t>Road access to renewable energy projects (including geothermal to which road access is currently prohibited) should be authorized. For example, it could be available to power mining exploration and/or mine development.</w:t>
      </w:r>
    </w:p>
    <w:p w:rsidR="00C8708B" w:rsidRDefault="001832FC">
      <w:pPr>
        <w:numPr>
          <w:ilvl w:val="0"/>
          <w:numId w:val="2"/>
        </w:numPr>
        <w:tabs>
          <w:tab w:val="clear" w:pos="360"/>
          <w:tab w:val="left" w:pos="1944"/>
        </w:tabs>
        <w:spacing w:before="100" w:line="276" w:lineRule="exact"/>
        <w:ind w:left="1944" w:right="432" w:hanging="360"/>
        <w:jc w:val="both"/>
        <w:textAlignment w:val="baseline"/>
        <w:rPr>
          <w:rFonts w:eastAsia="Times New Roman"/>
          <w:color w:val="000000"/>
          <w:sz w:val="24"/>
        </w:rPr>
      </w:pPr>
      <w:r>
        <w:rPr>
          <w:rFonts w:eastAsia="Times New Roman"/>
          <w:color w:val="000000"/>
          <w:sz w:val="24"/>
        </w:rPr>
        <w:t xml:space="preserve">The Juneau Access Road could be built as a Federal Aid Highway project in the Roadless Area between Juneau and Haines/Skagway if the State can prove a negative, to wit: “a road may be constructed... in an inventoried roadless area...” if “the Secretary of </w:t>
      </w:r>
      <w:r>
        <w:rPr>
          <w:rFonts w:eastAsia="Times New Roman"/>
          <w:color w:val="000000"/>
          <w:sz w:val="24"/>
        </w:rPr>
        <w:t xml:space="preserve">Agriculture determines that a Federal Aid Highway project, authorized by Title 23 of the United States Code, is in the public interest or is consistent with the purpose for which the land was reserved or acquired </w:t>
      </w:r>
      <w:r>
        <w:rPr>
          <w:rFonts w:eastAsia="Times New Roman"/>
          <w:b/>
          <w:color w:val="000000"/>
          <w:sz w:val="24"/>
        </w:rPr>
        <w:t>and no other reasonable and prudent alterna</w:t>
      </w:r>
      <w:r>
        <w:rPr>
          <w:rFonts w:eastAsia="Times New Roman"/>
          <w:b/>
          <w:color w:val="000000"/>
          <w:sz w:val="24"/>
        </w:rPr>
        <w:t xml:space="preserve">tive exists.” </w:t>
      </w:r>
      <w:r>
        <w:rPr>
          <w:rFonts w:eastAsia="Times New Roman"/>
          <w:color w:val="000000"/>
          <w:sz w:val="24"/>
        </w:rPr>
        <w:t>(36 C.F.R. § 294.12 (b)(6).</w:t>
      </w:r>
    </w:p>
    <w:p w:rsidR="00C8708B" w:rsidRDefault="001832FC">
      <w:pPr>
        <w:spacing w:after="100" w:line="755" w:lineRule="exact"/>
        <w:ind w:left="504"/>
        <w:textAlignment w:val="baseline"/>
        <w:rPr>
          <w:rFonts w:eastAsia="Times New Roman"/>
          <w:color w:val="000000"/>
          <w:sz w:val="24"/>
        </w:rPr>
      </w:pPr>
      <w:r>
        <w:rPr>
          <w:rFonts w:eastAsia="Times New Roman"/>
          <w:color w:val="000000"/>
          <w:sz w:val="24"/>
        </w:rPr>
        <w:t xml:space="preserve">Thank you for your consideration. </w:t>
      </w:r>
      <w:r>
        <w:rPr>
          <w:rFonts w:eastAsia="Times New Roman"/>
          <w:color w:val="000000"/>
          <w:sz w:val="24"/>
        </w:rPr>
        <w:br/>
        <w:t>Sincerely,</w:t>
      </w:r>
    </w:p>
    <w:p w:rsidR="00C8708B" w:rsidRDefault="001832FC">
      <w:pPr>
        <w:spacing w:after="2"/>
        <w:ind w:left="585" w:right="7714"/>
        <w:textAlignment w:val="baseline"/>
      </w:pPr>
      <w:r>
        <w:rPr>
          <w:noProof/>
        </w:rPr>
        <w:drawing>
          <wp:inline distT="0" distB="0" distL="0" distR="0">
            <wp:extent cx="1588135" cy="5124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1588135" cy="512445"/>
                    </a:xfrm>
                    <a:prstGeom prst="rect">
                      <a:avLst/>
                    </a:prstGeom>
                  </pic:spPr>
                </pic:pic>
              </a:graphicData>
            </a:graphic>
          </wp:inline>
        </w:drawing>
      </w:r>
    </w:p>
    <w:p w:rsidR="00C8708B" w:rsidRDefault="001832FC">
      <w:pPr>
        <w:spacing w:before="24" w:line="220" w:lineRule="exact"/>
        <w:ind w:left="504"/>
        <w:textAlignment w:val="baseline"/>
        <w:rPr>
          <w:rFonts w:eastAsia="Times New Roman"/>
          <w:color w:val="000000"/>
          <w:sz w:val="24"/>
        </w:rPr>
      </w:pPr>
      <w:r>
        <w:rPr>
          <w:rFonts w:eastAsia="Times New Roman"/>
          <w:color w:val="000000"/>
          <w:sz w:val="24"/>
        </w:rPr>
        <w:t xml:space="preserve">Dennis L. DeWitt </w:t>
      </w:r>
      <w:r>
        <w:rPr>
          <w:rFonts w:eastAsia="Times New Roman"/>
          <w:color w:val="000000"/>
          <w:sz w:val="24"/>
        </w:rPr>
        <w:br/>
      </w:r>
      <w:r>
        <w:rPr>
          <w:rFonts w:ascii="Palatino Linotype" w:eastAsia="Palatino Linotype" w:hAnsi="Palatino Linotype"/>
          <w:color w:val="000000"/>
          <w:sz w:val="21"/>
        </w:rPr>
        <w:t>Partner</w:t>
      </w:r>
    </w:p>
    <w:p w:rsidR="00C8708B" w:rsidRDefault="001832FC">
      <w:pPr>
        <w:spacing w:line="238" w:lineRule="exact"/>
        <w:ind w:left="504"/>
        <w:textAlignment w:val="baseline"/>
        <w:rPr>
          <w:rFonts w:ascii="Palatino Linotype" w:eastAsia="Palatino Linotype" w:hAnsi="Palatino Linotype"/>
          <w:color w:val="000000"/>
          <w:sz w:val="21"/>
        </w:rPr>
      </w:pPr>
      <w:r>
        <w:rPr>
          <w:rFonts w:ascii="Palatino Linotype" w:eastAsia="Palatino Linotype" w:hAnsi="Palatino Linotype"/>
          <w:color w:val="000000"/>
          <w:sz w:val="21"/>
        </w:rPr>
        <w:t xml:space="preserve">DeWitt &amp; DeWitt, LLC </w:t>
      </w:r>
      <w:bookmarkStart w:id="0" w:name="_GoBack"/>
      <w:bookmarkEnd w:id="0"/>
    </w:p>
    <w:p w:rsidR="00C8708B" w:rsidRPr="001832FC" w:rsidRDefault="001832FC" w:rsidP="001832FC">
      <w:pPr>
        <w:spacing w:before="1" w:after="790" w:line="230" w:lineRule="exact"/>
        <w:ind w:left="504"/>
        <w:textAlignment w:val="baseline"/>
        <w:rPr>
          <w:rFonts w:ascii="Palatino Linotype" w:eastAsia="Palatino Linotype" w:hAnsi="Palatino Linotype"/>
          <w:color w:val="000000"/>
          <w:sz w:val="21"/>
        </w:rPr>
        <w:sectPr w:rsidR="00C8708B" w:rsidRPr="001832FC">
          <w:pgSz w:w="12240" w:h="15840"/>
          <w:pgMar w:top="680" w:right="686" w:bottom="764" w:left="754" w:header="720" w:footer="720" w:gutter="0"/>
          <w:cols w:space="720"/>
        </w:sectPr>
      </w:pPr>
      <w:r>
        <w:pict>
          <v:line id="_x0000_s1027" style="position:absolute;left:0;text-align:left;z-index:251657216;mso-position-horizontal-relative:page;mso-position-vertical-relative:page" from="37.7pt,703.45pt" to="577.75pt,703.45pt" strokecolor="#0b7b3f" strokeweight="1.9pt">
            <v:stroke linestyle="thinThin"/>
            <w10:wrap anchorx="page" anchory="page"/>
          </v:line>
        </w:pict>
      </w:r>
      <w:r>
        <w:rPr>
          <w:rFonts w:ascii="Palatino Linotype" w:eastAsia="Palatino Linotype" w:hAnsi="Palatino Linotype"/>
          <w:color w:val="000000"/>
          <w:sz w:val="21"/>
        </w:rPr>
        <w:t>Juneau, Alaska 99803-</w:t>
      </w:r>
      <w:r>
        <w:rPr>
          <w:rFonts w:ascii="Palatino Linotype" w:eastAsia="Palatino Linotype" w:hAnsi="Palatino Linotype"/>
          <w:color w:val="000000"/>
          <w:sz w:val="21"/>
        </w:rPr>
        <w:t>4</w:t>
      </w:r>
      <w:r>
        <w:rPr>
          <w:rFonts w:ascii="Palatino Linotype" w:eastAsia="Palatino Linotype" w:hAnsi="Palatino Linotype"/>
          <w:color w:val="000000"/>
          <w:sz w:val="21"/>
        </w:rPr>
        <w:t>7</w:t>
      </w:r>
      <w:r>
        <w:rPr>
          <w:rFonts w:ascii="Palatino Linotype" w:eastAsia="Palatino Linotype" w:hAnsi="Palatino Linotype"/>
          <w:color w:val="000000"/>
          <w:sz w:val="21"/>
        </w:rPr>
        <w:t>6</w:t>
      </w:r>
      <w:r>
        <w:rPr>
          <w:rFonts w:ascii="Palatino Linotype" w:eastAsia="Palatino Linotype" w:hAnsi="Palatino Linotype"/>
          <w:color w:val="000000"/>
          <w:sz w:val="21"/>
        </w:rPr>
        <w:t>1</w:t>
      </w:r>
      <w:r>
        <w:rPr>
          <w:rFonts w:ascii="Palatino Linotype" w:eastAsia="Palatino Linotype" w:hAnsi="Palatino Linotype"/>
          <w:color w:val="000000"/>
          <w:sz w:val="21"/>
        </w:rPr>
        <w:t xml:space="preserve"> </w:t>
      </w:r>
    </w:p>
    <w:p w:rsidR="00C8708B" w:rsidRDefault="00C8708B">
      <w:pPr>
        <w:sectPr w:rsidR="00C8708B">
          <w:type w:val="continuous"/>
          <w:pgSz w:w="12240" w:h="15840"/>
          <w:pgMar w:top="680" w:right="1055" w:bottom="764" w:left="1132" w:header="720" w:footer="720" w:gutter="0"/>
          <w:cols w:space="720"/>
        </w:sectPr>
      </w:pPr>
    </w:p>
    <w:p w:rsidR="00C8708B" w:rsidRPr="001832FC" w:rsidRDefault="00C8708B" w:rsidP="001832FC">
      <w:pPr>
        <w:spacing w:before="52" w:line="230" w:lineRule="exact"/>
        <w:textAlignment w:val="baseline"/>
        <w:rPr>
          <w:rFonts w:ascii="Palatino Linotype" w:eastAsia="Palatino Linotype" w:hAnsi="Palatino Linotype"/>
          <w:color w:val="000000"/>
          <w:spacing w:val="4"/>
          <w:sz w:val="20"/>
        </w:rPr>
        <w:sectPr w:rsidR="00C8708B" w:rsidRPr="001832FC">
          <w:pgSz w:w="12240" w:h="15840"/>
          <w:pgMar w:top="680" w:right="8159" w:bottom="764" w:left="1541" w:header="720" w:footer="720" w:gutter="0"/>
          <w:cols w:space="720"/>
        </w:sectPr>
      </w:pPr>
    </w:p>
    <w:p w:rsidR="00C8708B" w:rsidRPr="001832FC" w:rsidRDefault="001832FC" w:rsidP="001832FC">
      <w:pPr>
        <w:spacing w:before="100" w:line="288" w:lineRule="exact"/>
        <w:textAlignment w:val="baseline"/>
        <w:rPr>
          <w:rFonts w:eastAsia="Times New Roman"/>
          <w:color w:val="000000"/>
          <w:sz w:val="24"/>
        </w:rPr>
        <w:sectPr w:rsidR="00C8708B" w:rsidRPr="001832FC">
          <w:type w:val="continuous"/>
          <w:pgSz w:w="12240" w:h="15840"/>
          <w:pgMar w:top="680" w:right="1074" w:bottom="764" w:left="1113" w:header="720" w:footer="720" w:gutter="0"/>
          <w:cols w:space="720"/>
        </w:sectPr>
      </w:pPr>
      <w:r>
        <w:pict>
          <v:line id="_x0000_s1026" style="position:absolute;z-index:251658240;mso-position-horizontal-relative:text;mso-position-vertical-relative:text" from="-18.05pt,1pt" to="522pt,1pt" strokecolor="#0b7b3f" strokeweight="1.9pt">
            <v:stroke linestyle="thinThin"/>
          </v:line>
        </w:pict>
      </w:r>
    </w:p>
    <w:p w:rsidR="00C8708B" w:rsidRDefault="00C8708B" w:rsidP="001832FC">
      <w:pPr>
        <w:spacing w:line="250" w:lineRule="exact"/>
        <w:ind w:right="1000"/>
        <w:textAlignment w:val="baseline"/>
        <w:sectPr w:rsidR="00C8708B">
          <w:type w:val="continuous"/>
          <w:pgSz w:w="12240" w:h="15840"/>
          <w:pgMar w:top="680" w:right="1074" w:bottom="764" w:left="1113" w:header="720" w:footer="720" w:gutter="0"/>
          <w:cols w:space="720"/>
        </w:sectPr>
      </w:pPr>
    </w:p>
    <w:p w:rsidR="00C8708B" w:rsidRDefault="00C8708B">
      <w:pPr>
        <w:textAlignment w:val="baseline"/>
        <w:rPr>
          <w:rFonts w:eastAsia="Times New Roman"/>
          <w:color w:val="000000"/>
          <w:sz w:val="24"/>
        </w:rPr>
      </w:pPr>
    </w:p>
    <w:sectPr w:rsidR="00C8708B">
      <w:type w:val="continuous"/>
      <w:pgSz w:w="12240" w:h="15840"/>
      <w:pgMar w:top="680" w:right="1074" w:bottom="764" w:left="11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Palatino Linotype">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159A"/>
    <w:multiLevelType w:val="multilevel"/>
    <w:tmpl w:val="CDCE1202"/>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C11F67"/>
    <w:multiLevelType w:val="multilevel"/>
    <w:tmpl w:val="C20CC67A"/>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8708B"/>
    <w:rsid w:val="001832FC"/>
    <w:rsid w:val="00C8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9AE0EE"/>
  <w15:docId w15:val="{B41AA597-1DC4-4A1A-B9A6-6CA56426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akroadlessrule@fs.fe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2019-11-20T13:35:00Z</dcterms:created>
  <dcterms:modified xsi:type="dcterms:W3CDTF">2019-11-20T13:36:00Z</dcterms:modified>
</cp:coreProperties>
</file>