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218" w:rsidRDefault="000E7218">
      <w:pPr>
        <w:spacing w:before="5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2"/>
        <w:gridCol w:w="6009"/>
      </w:tblGrid>
      <w:tr w:rsidR="000A4B90">
        <w:tblPrEx>
          <w:tblCellMar>
            <w:top w:w="0" w:type="dxa"/>
            <w:bottom w:w="0" w:type="dxa"/>
          </w:tblCellMar>
        </w:tblPrEx>
        <w:trPr>
          <w:trHeight w:hRule="exact" w:val="1428"/>
        </w:trPr>
        <w:tc>
          <w:tcPr>
            <w:tcW w:w="23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0A4B90" w:rsidRDefault="000A4B90">
            <w:pPr>
              <w:spacing w:before="600" w:line="204" w:lineRule="exact"/>
              <w:ind w:right="144"/>
              <w:textAlignment w:val="baseline"/>
              <w:rPr>
                <w:rFonts w:ascii="Tahoma" w:eastAsia="Tahoma" w:hAnsi="Tahoma"/>
                <w:b/>
                <w:color w:val="000000"/>
                <w:spacing w:val="14"/>
                <w:sz w:val="15"/>
              </w:rPr>
            </w:pPr>
            <w:r>
              <w:rPr>
                <w:rFonts w:ascii="Tahoma" w:eastAsia="Tahoma" w:hAnsi="Tahoma"/>
                <w:b/>
                <w:color w:val="000000"/>
                <w:spacing w:val="14"/>
                <w:sz w:val="15"/>
              </w:rPr>
              <w:t>Scott C Milner, CPA Harold R. Howard III, CPA Diane J. Palmer CPA Scott D Edwards, CPA</w:t>
            </w:r>
          </w:p>
        </w:tc>
        <w:tc>
          <w:tcPr>
            <w:tcW w:w="60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4B90" w:rsidRDefault="000A4B90">
            <w:pPr>
              <w:spacing w:line="226" w:lineRule="exact"/>
              <w:jc w:val="center"/>
              <w:textAlignment w:val="baseline"/>
              <w:rPr>
                <w:rFonts w:ascii="Tahoma" w:eastAsia="Tahoma" w:hAnsi="Tahoma"/>
                <w:b/>
                <w:color w:val="000000"/>
                <w:sz w:val="25"/>
              </w:rPr>
            </w:pPr>
            <w:r>
              <w:rPr>
                <w:rFonts w:ascii="Tahoma" w:eastAsia="Tahoma" w:hAnsi="Tahoma"/>
                <w:b/>
                <w:color w:val="000000"/>
                <w:sz w:val="25"/>
              </w:rPr>
              <w:t>MILNER, HOWARD, PALMER &amp; EDWARDS</w:t>
            </w:r>
          </w:p>
          <w:p w:rsidR="000A4B90" w:rsidRDefault="000A4B90">
            <w:pPr>
              <w:spacing w:before="133" w:after="880" w:line="17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CERTIFIED PUBLIC ACCOUNTANTS, PC</w:t>
            </w:r>
          </w:p>
        </w:tc>
      </w:tr>
    </w:tbl>
    <w:p w:rsidR="000E7218" w:rsidRDefault="000E7218">
      <w:pPr>
        <w:spacing w:after="736" w:line="20" w:lineRule="exact"/>
      </w:pPr>
    </w:p>
    <w:p w:rsidR="000E7218" w:rsidRDefault="000A4B90">
      <w:pPr>
        <w:spacing w:line="215" w:lineRule="exact"/>
        <w:ind w:left="648"/>
        <w:textAlignment w:val="baseline"/>
        <w:rPr>
          <w:rFonts w:ascii="Tahoma" w:eastAsia="Tahoma" w:hAnsi="Tahoma"/>
          <w:color w:val="000000"/>
          <w:spacing w:val="9"/>
          <w:sz w:val="18"/>
        </w:rPr>
      </w:pPr>
      <w:r>
        <w:rPr>
          <w:rFonts w:ascii="Tahoma" w:eastAsia="Tahoma" w:hAnsi="Tahoma"/>
          <w:color w:val="000000"/>
          <w:spacing w:val="9"/>
          <w:sz w:val="18"/>
        </w:rPr>
        <w:t>November 6, 2019</w:t>
      </w:r>
    </w:p>
    <w:p w:rsidR="000E7218" w:rsidRDefault="000A4B90">
      <w:pPr>
        <w:spacing w:before="302" w:line="221" w:lineRule="exact"/>
        <w:ind w:left="648"/>
        <w:textAlignment w:val="baseline"/>
        <w:rPr>
          <w:rFonts w:ascii="Tahoma" w:eastAsia="Tahoma" w:hAnsi="Tahoma"/>
          <w:color w:val="000000"/>
          <w:spacing w:val="8"/>
          <w:sz w:val="18"/>
        </w:rPr>
      </w:pPr>
      <w:r>
        <w:rPr>
          <w:rFonts w:ascii="Tahoma" w:eastAsia="Tahoma" w:hAnsi="Tahoma"/>
          <w:color w:val="000000"/>
          <w:spacing w:val="8"/>
          <w:sz w:val="18"/>
        </w:rPr>
        <w:t>USDA Forest Service</w:t>
      </w:r>
    </w:p>
    <w:p w:rsidR="000E7218" w:rsidRDefault="000A4B90">
      <w:pPr>
        <w:spacing w:before="42" w:line="221" w:lineRule="exact"/>
        <w:ind w:left="648"/>
        <w:textAlignment w:val="baseline"/>
        <w:rPr>
          <w:rFonts w:ascii="Tahoma" w:eastAsia="Tahoma" w:hAnsi="Tahoma"/>
          <w:color w:val="000000"/>
          <w:spacing w:val="8"/>
          <w:sz w:val="18"/>
        </w:rPr>
      </w:pPr>
      <w:r>
        <w:rPr>
          <w:rFonts w:ascii="Tahoma" w:eastAsia="Tahoma" w:hAnsi="Tahoma"/>
          <w:color w:val="000000"/>
          <w:spacing w:val="8"/>
          <w:sz w:val="18"/>
        </w:rPr>
        <w:t>Attn: Alaska Roadless Rule</w:t>
      </w:r>
    </w:p>
    <w:p w:rsidR="000E7218" w:rsidRDefault="000A4B90">
      <w:pPr>
        <w:spacing w:before="41" w:line="221" w:lineRule="exact"/>
        <w:ind w:left="648"/>
        <w:textAlignment w:val="baseline"/>
        <w:rPr>
          <w:rFonts w:ascii="Tahoma" w:eastAsia="Tahoma" w:hAnsi="Tahoma"/>
          <w:color w:val="000000"/>
          <w:spacing w:val="6"/>
          <w:sz w:val="18"/>
        </w:rPr>
      </w:pPr>
      <w:r>
        <w:rPr>
          <w:rFonts w:ascii="Tahoma" w:eastAsia="Tahoma" w:hAnsi="Tahoma"/>
          <w:color w:val="000000"/>
          <w:spacing w:val="6"/>
          <w:sz w:val="18"/>
        </w:rPr>
        <w:t>P.O. Box 21628</w:t>
      </w:r>
    </w:p>
    <w:p w:rsidR="000E7218" w:rsidRDefault="000A4B90">
      <w:pPr>
        <w:spacing w:before="43" w:line="221" w:lineRule="exact"/>
        <w:ind w:left="648"/>
        <w:textAlignment w:val="baseline"/>
        <w:rPr>
          <w:rFonts w:ascii="Tahoma" w:eastAsia="Tahoma" w:hAnsi="Tahoma"/>
          <w:color w:val="000000"/>
          <w:spacing w:val="8"/>
          <w:sz w:val="18"/>
        </w:rPr>
      </w:pPr>
      <w:r>
        <w:rPr>
          <w:rFonts w:ascii="Tahoma" w:eastAsia="Tahoma" w:hAnsi="Tahoma"/>
          <w:color w:val="000000"/>
          <w:spacing w:val="8"/>
          <w:sz w:val="18"/>
        </w:rPr>
        <w:t>Juneau, AK 99802</w:t>
      </w:r>
    </w:p>
    <w:p w:rsidR="000E7218" w:rsidRDefault="000A4B90">
      <w:pPr>
        <w:spacing w:before="48" w:line="221" w:lineRule="exact"/>
        <w:ind w:left="648"/>
        <w:textAlignment w:val="baseline"/>
        <w:rPr>
          <w:rFonts w:ascii="Tahoma" w:eastAsia="Tahoma" w:hAnsi="Tahoma"/>
          <w:color w:val="000000"/>
          <w:spacing w:val="11"/>
          <w:sz w:val="18"/>
        </w:rPr>
      </w:pPr>
      <w:hyperlink r:id="rId4">
        <w:r>
          <w:rPr>
            <w:rFonts w:ascii="Tahoma" w:eastAsia="Tahoma" w:hAnsi="Tahoma"/>
            <w:color w:val="0000FF"/>
            <w:spacing w:val="11"/>
            <w:sz w:val="18"/>
            <w:u w:val="single"/>
          </w:rPr>
          <w:t>akroadlessrule@fs.fed.us</w:t>
        </w:r>
      </w:hyperlink>
      <w:r>
        <w:rPr>
          <w:rFonts w:ascii="Tahoma" w:eastAsia="Tahoma" w:hAnsi="Tahoma"/>
          <w:color w:val="000000"/>
          <w:spacing w:val="11"/>
          <w:sz w:val="18"/>
        </w:rPr>
        <w:t xml:space="preserve"> </w:t>
      </w:r>
    </w:p>
    <w:p w:rsidR="000E7218" w:rsidRDefault="000A4B90">
      <w:pPr>
        <w:spacing w:line="525" w:lineRule="exact"/>
        <w:ind w:left="648"/>
        <w:textAlignment w:val="baseline"/>
        <w:rPr>
          <w:rFonts w:ascii="Tahoma" w:eastAsia="Tahoma" w:hAnsi="Tahoma"/>
          <w:color w:val="000000"/>
          <w:sz w:val="18"/>
        </w:rPr>
      </w:pPr>
      <w:r>
        <w:rPr>
          <w:rFonts w:ascii="Tahoma" w:eastAsia="Tahoma" w:hAnsi="Tahoma"/>
          <w:color w:val="000000"/>
          <w:sz w:val="18"/>
        </w:rPr>
        <w:t xml:space="preserve">Subject: Alaska Roadless Rule </w:t>
      </w:r>
      <w:r>
        <w:rPr>
          <w:rFonts w:ascii="Tahoma" w:eastAsia="Tahoma" w:hAnsi="Tahoma"/>
          <w:color w:val="000000"/>
          <w:sz w:val="18"/>
        </w:rPr>
        <w:br/>
        <w:t>To Whom It May Concern:</w:t>
      </w:r>
    </w:p>
    <w:p w:rsidR="000E7218" w:rsidRDefault="000A4B90">
      <w:pPr>
        <w:spacing w:before="269" w:line="264" w:lineRule="exact"/>
        <w:ind w:left="648" w:right="792"/>
        <w:textAlignment w:val="baseline"/>
        <w:rPr>
          <w:rFonts w:ascii="Tahoma" w:eastAsia="Tahoma" w:hAnsi="Tahoma"/>
          <w:color w:val="000000"/>
          <w:spacing w:val="10"/>
          <w:sz w:val="18"/>
        </w:rPr>
      </w:pPr>
      <w:r>
        <w:rPr>
          <w:rFonts w:ascii="Tahoma" w:eastAsia="Tahoma" w:hAnsi="Tahoma"/>
          <w:color w:val="000000"/>
          <w:spacing w:val="10"/>
          <w:sz w:val="18"/>
        </w:rPr>
        <w:t xml:space="preserve">We urge you to fully exempt the </w:t>
      </w:r>
      <w:proofErr w:type="spellStart"/>
      <w:r>
        <w:rPr>
          <w:rFonts w:ascii="Tahoma" w:eastAsia="Tahoma" w:hAnsi="Tahoma"/>
          <w:color w:val="000000"/>
          <w:spacing w:val="10"/>
          <w:sz w:val="18"/>
        </w:rPr>
        <w:t>Tongass</w:t>
      </w:r>
      <w:proofErr w:type="spellEnd"/>
      <w:r>
        <w:rPr>
          <w:rFonts w:ascii="Tahoma" w:eastAsia="Tahoma" w:hAnsi="Tahoma"/>
          <w:color w:val="000000"/>
          <w:spacing w:val="10"/>
          <w:sz w:val="18"/>
        </w:rPr>
        <w:t xml:space="preserve"> National Forest from the Roadless Rule. Our firm understands the economic support that</w:t>
      </w:r>
      <w:r>
        <w:rPr>
          <w:rFonts w:ascii="Tahoma" w:eastAsia="Tahoma" w:hAnsi="Tahoma"/>
          <w:color w:val="000000"/>
          <w:spacing w:val="10"/>
          <w:sz w:val="18"/>
        </w:rPr>
        <w:t xml:space="preserve"> logging, mining and resource development has provided to the communities of Southeast Alaska. We need to restore more year-round jobs by growing the timber supply. Timber harvesting has not harmed the tourism industry, and many outdoor recreation activiti</w:t>
      </w:r>
      <w:r>
        <w:rPr>
          <w:rFonts w:ascii="Tahoma" w:eastAsia="Tahoma" w:hAnsi="Tahoma"/>
          <w:color w:val="000000"/>
          <w:spacing w:val="10"/>
          <w:sz w:val="18"/>
        </w:rPr>
        <w:t>es take place near the previously harvested areas because of the access provided by the logging roads. We feel that the exemption is vital to the development of a diverse economic base in the region.</w:t>
      </w:r>
    </w:p>
    <w:p w:rsidR="000E7218" w:rsidRDefault="000A4B90">
      <w:pPr>
        <w:spacing w:before="260" w:line="262" w:lineRule="exact"/>
        <w:ind w:left="648" w:right="792"/>
        <w:textAlignment w:val="baseline"/>
        <w:rPr>
          <w:rFonts w:ascii="Tahoma" w:eastAsia="Tahoma" w:hAnsi="Tahoma"/>
          <w:color w:val="000000"/>
          <w:spacing w:val="9"/>
          <w:sz w:val="18"/>
        </w:rPr>
      </w:pPr>
      <w:r>
        <w:rPr>
          <w:rFonts w:ascii="Tahoma" w:eastAsia="Tahoma" w:hAnsi="Tahoma"/>
          <w:color w:val="000000"/>
          <w:spacing w:val="9"/>
          <w:sz w:val="18"/>
        </w:rPr>
        <w:t>We have seen the devastating effects in our communities from the loss of over 90% of 4,500 private timber industry jobs. Mineral exploration has also suffered as a result of the Roadless Rule. As member of the community, we care deeply about the local fish</w:t>
      </w:r>
      <w:r>
        <w:rPr>
          <w:rFonts w:ascii="Tahoma" w:eastAsia="Tahoma" w:hAnsi="Tahoma"/>
          <w:color w:val="000000"/>
          <w:spacing w:val="9"/>
          <w:sz w:val="18"/>
        </w:rPr>
        <w:t xml:space="preserve">ing industry as well. Exempting the </w:t>
      </w:r>
      <w:proofErr w:type="spellStart"/>
      <w:r>
        <w:rPr>
          <w:rFonts w:ascii="Tahoma" w:eastAsia="Tahoma" w:hAnsi="Tahoma"/>
          <w:color w:val="000000"/>
          <w:spacing w:val="9"/>
          <w:sz w:val="18"/>
        </w:rPr>
        <w:t>Tongass</w:t>
      </w:r>
      <w:proofErr w:type="spellEnd"/>
      <w:r>
        <w:rPr>
          <w:rFonts w:ascii="Tahoma" w:eastAsia="Tahoma" w:hAnsi="Tahoma"/>
          <w:color w:val="000000"/>
          <w:spacing w:val="9"/>
          <w:sz w:val="18"/>
        </w:rPr>
        <w:t xml:space="preserve"> from the Roadless Rule will not cause harm to the region's fisheries. Fish habitat is already fully protected in the national forest.</w:t>
      </w:r>
      <w:bookmarkStart w:id="0" w:name="_GoBack"/>
      <w:bookmarkEnd w:id="0"/>
    </w:p>
    <w:p w:rsidR="000E7218" w:rsidRDefault="000A4B90">
      <w:pPr>
        <w:spacing w:before="267" w:line="265" w:lineRule="exact"/>
        <w:ind w:left="648" w:right="792"/>
        <w:textAlignment w:val="baseline"/>
        <w:rPr>
          <w:rFonts w:ascii="Tahoma" w:eastAsia="Tahoma" w:hAnsi="Tahoma"/>
          <w:color w:val="000000"/>
          <w:sz w:val="18"/>
        </w:rPr>
      </w:pPr>
      <w:r>
        <w:rPr>
          <w:rFonts w:ascii="Tahoma" w:eastAsia="Tahoma" w:hAnsi="Tahoma"/>
          <w:color w:val="000000"/>
          <w:sz w:val="18"/>
        </w:rPr>
        <w:t>We fully support the restoration of the Roadless Exemption so that Southeast A</w:t>
      </w:r>
      <w:r>
        <w:rPr>
          <w:rFonts w:ascii="Tahoma" w:eastAsia="Tahoma" w:hAnsi="Tahoma"/>
          <w:color w:val="000000"/>
          <w:sz w:val="18"/>
        </w:rPr>
        <w:t>laska can have the same economic opportunities as communities in or near other national forests.</w:t>
      </w:r>
    </w:p>
    <w:p w:rsidR="000A4B90" w:rsidRDefault="000A4B90" w:rsidP="000A4B90">
      <w:pPr>
        <w:spacing w:before="304" w:after="278" w:line="224" w:lineRule="exact"/>
        <w:ind w:left="648"/>
        <w:textAlignment w:val="baseline"/>
        <w:rPr>
          <w:rFonts w:ascii="Tahoma" w:eastAsia="Tahoma" w:hAnsi="Tahoma"/>
          <w:color w:val="000000"/>
          <w:spacing w:val="7"/>
          <w:sz w:val="18"/>
        </w:rPr>
      </w:pPr>
      <w:r>
        <w:rPr>
          <w:rFonts w:ascii="Tahoma" w:eastAsia="Tahoma" w:hAnsi="Tahoma"/>
          <w:color w:val="000000"/>
          <w:spacing w:val="7"/>
          <w:sz w:val="18"/>
        </w:rPr>
        <w:t>Sincerely,</w:t>
      </w:r>
    </w:p>
    <w:p w:rsidR="000A4B90" w:rsidRDefault="000A4B90" w:rsidP="000A4B90">
      <w:pPr>
        <w:spacing w:before="304" w:after="278" w:line="224" w:lineRule="exact"/>
        <w:ind w:left="648"/>
        <w:textAlignment w:val="baseline"/>
        <w:rPr>
          <w:rFonts w:ascii="Tahoma" w:eastAsia="Tahoma" w:hAnsi="Tahoma"/>
          <w:color w:val="000000"/>
          <w:spacing w:val="7"/>
          <w:sz w:val="18"/>
        </w:rPr>
      </w:pPr>
    </w:p>
    <w:p w:rsidR="000A4B90" w:rsidRPr="000A4B90" w:rsidRDefault="000A4B90" w:rsidP="000A4B90">
      <w:pPr>
        <w:spacing w:before="304" w:after="278" w:line="224" w:lineRule="exact"/>
        <w:ind w:left="648"/>
        <w:textAlignment w:val="baseline"/>
        <w:rPr>
          <w:rFonts w:ascii="Tahoma" w:eastAsia="Tahoma" w:hAnsi="Tahoma"/>
          <w:color w:val="000000"/>
          <w:spacing w:val="7"/>
          <w:sz w:val="18"/>
        </w:rPr>
        <w:sectPr w:rsidR="000A4B90" w:rsidRPr="000A4B90">
          <w:pgSz w:w="12125" w:h="15466"/>
          <w:pgMar w:top="600" w:right="605" w:bottom="1870" w:left="720" w:header="720" w:footer="720" w:gutter="0"/>
          <w:cols w:space="720"/>
        </w:sectPr>
      </w:pPr>
      <w:r>
        <w:rPr>
          <w:rFonts w:ascii="Tahoma" w:eastAsia="Tahoma" w:hAnsi="Tahoma"/>
          <w:color w:val="000000"/>
          <w:spacing w:val="7"/>
          <w:sz w:val="18"/>
        </w:rPr>
        <w:t>[Images of signatures]</w:t>
      </w:r>
    </w:p>
    <w:p w:rsidR="000E7218" w:rsidRDefault="000E7218">
      <w:pPr>
        <w:spacing w:line="465" w:lineRule="exact"/>
        <w:textAlignment w:val="baseline"/>
        <w:rPr>
          <w:rFonts w:ascii="Bookman Old Style" w:eastAsia="Bookman Old Style" w:hAnsi="Bookman Old Style"/>
          <w:color w:val="000000"/>
          <w:spacing w:val="34"/>
          <w:sz w:val="31"/>
        </w:rPr>
      </w:pPr>
    </w:p>
    <w:sectPr w:rsidR="000E7218">
      <w:type w:val="continuous"/>
      <w:pgSz w:w="12125" w:h="15466"/>
      <w:pgMar w:top="600" w:right="6414" w:bottom="1870" w:left="16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Bookman Old Style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7218"/>
    <w:rsid w:val="000A4B90"/>
    <w:rsid w:val="000E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CAD62"/>
  <w15:docId w15:val="{B41AA597-1DC4-4A1A-B9A6-6CA56426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roadlessrule@fs.fed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Buzzeo, Rachel</cp:lastModifiedBy>
  <cp:revision>2</cp:revision>
  <dcterms:created xsi:type="dcterms:W3CDTF">2019-11-20T13:26:00Z</dcterms:created>
  <dcterms:modified xsi:type="dcterms:W3CDTF">2019-11-20T13:26:00Z</dcterms:modified>
</cp:coreProperties>
</file>