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C3957" w14:textId="77777777" w:rsidR="006E60E4" w:rsidRDefault="006E60E4" w:rsidP="00953BA1">
      <w:pPr>
        <w:jc w:val="center"/>
        <w:rPr>
          <w:b/>
          <w:sz w:val="20"/>
          <w:szCs w:val="20"/>
        </w:rPr>
      </w:pPr>
      <w:bookmarkStart w:id="0" w:name="_GoBack"/>
      <w:bookmarkEnd w:id="0"/>
    </w:p>
    <w:p w14:paraId="065E2239" w14:textId="0023139A" w:rsidR="003D40A2" w:rsidRPr="001B155F" w:rsidRDefault="00DA12D9" w:rsidP="003D40A2">
      <w:pPr>
        <w:rPr>
          <w:rFonts w:ascii="Courier" w:hAnsi="Courier"/>
        </w:rPr>
      </w:pPr>
      <w:r>
        <w:rPr>
          <w:rFonts w:ascii="Courier" w:hAnsi="Courier"/>
        </w:rPr>
        <w:t>August 30</w:t>
      </w:r>
      <w:r w:rsidR="003D40A2" w:rsidRPr="001B155F">
        <w:rPr>
          <w:rFonts w:ascii="Courier" w:hAnsi="Courier"/>
        </w:rPr>
        <w:t>, 2016</w:t>
      </w:r>
    </w:p>
    <w:p w14:paraId="15B5F9FE" w14:textId="77777777" w:rsidR="00953BA1" w:rsidRPr="001B155F" w:rsidRDefault="00953BA1" w:rsidP="00953BA1">
      <w:pPr>
        <w:rPr>
          <w:rFonts w:ascii="Courier" w:hAnsi="Courier"/>
          <w:sz w:val="20"/>
          <w:szCs w:val="20"/>
        </w:rPr>
      </w:pPr>
    </w:p>
    <w:p w14:paraId="044A8E89" w14:textId="77777777" w:rsidR="00DA12D9" w:rsidRDefault="00DA12D9" w:rsidP="003D40A2">
      <w:pPr>
        <w:rPr>
          <w:rFonts w:ascii="Courier" w:hAnsi="Courier"/>
        </w:rPr>
      </w:pPr>
      <w:r>
        <w:rPr>
          <w:rFonts w:ascii="Courier" w:hAnsi="Courier"/>
        </w:rPr>
        <w:t xml:space="preserve">Elaine </w:t>
      </w:r>
      <w:proofErr w:type="spellStart"/>
      <w:r>
        <w:rPr>
          <w:rFonts w:ascii="Courier" w:hAnsi="Courier"/>
        </w:rPr>
        <w:t>Kohrman</w:t>
      </w:r>
      <w:proofErr w:type="spellEnd"/>
      <w:r>
        <w:rPr>
          <w:rFonts w:ascii="Courier" w:hAnsi="Courier"/>
        </w:rPr>
        <w:t>, Forest Supervisor</w:t>
      </w:r>
    </w:p>
    <w:p w14:paraId="40BE45E9" w14:textId="1AF8F9D1" w:rsidR="003D40A2" w:rsidRDefault="00DA12D9" w:rsidP="003D40A2">
      <w:pPr>
        <w:rPr>
          <w:rFonts w:ascii="Courier" w:hAnsi="Courier"/>
        </w:rPr>
      </w:pPr>
      <w:r>
        <w:rPr>
          <w:rFonts w:ascii="Courier" w:hAnsi="Courier"/>
        </w:rPr>
        <w:t>Cibola National Forest &amp; National Grasslands</w:t>
      </w:r>
    </w:p>
    <w:p w14:paraId="5C948A96" w14:textId="5ECBCDAA" w:rsidR="00DA12D9" w:rsidRDefault="00DA12D9" w:rsidP="003D40A2">
      <w:pPr>
        <w:rPr>
          <w:rFonts w:ascii="Courier" w:hAnsi="Courier"/>
        </w:rPr>
      </w:pPr>
      <w:r>
        <w:rPr>
          <w:rFonts w:ascii="Courier" w:hAnsi="Courier"/>
        </w:rPr>
        <w:t>2113 Osuna Rd. NE</w:t>
      </w:r>
    </w:p>
    <w:p w14:paraId="49957728" w14:textId="4B6CC7A8" w:rsidR="00DA12D9" w:rsidRDefault="00DA12D9" w:rsidP="003D40A2">
      <w:pPr>
        <w:rPr>
          <w:rFonts w:ascii="Courier" w:hAnsi="Courier"/>
        </w:rPr>
      </w:pPr>
      <w:r>
        <w:rPr>
          <w:rFonts w:ascii="Courier" w:hAnsi="Courier"/>
        </w:rPr>
        <w:t>Albuquerque, New Mexico 87113</w:t>
      </w:r>
    </w:p>
    <w:p w14:paraId="37EEDF2A" w14:textId="61F429E5" w:rsidR="00DA12D9" w:rsidRDefault="00DA12D9" w:rsidP="003D40A2">
      <w:pPr>
        <w:rPr>
          <w:rFonts w:ascii="Courier" w:hAnsi="Courier"/>
        </w:rPr>
      </w:pPr>
      <w:r w:rsidRPr="00DA12D9">
        <w:rPr>
          <w:rFonts w:ascii="Courier" w:hAnsi="Courier"/>
          <w:i/>
        </w:rPr>
        <w:t>Via</w:t>
      </w:r>
      <w:r>
        <w:rPr>
          <w:rFonts w:ascii="Courier" w:hAnsi="Courier"/>
        </w:rPr>
        <w:t xml:space="preserve"> email:  comments-southwestern-Cibola@fs.fed.us</w:t>
      </w:r>
    </w:p>
    <w:p w14:paraId="27345D69" w14:textId="64DE4C2E" w:rsidR="00DA12D9" w:rsidRPr="00DA12D9" w:rsidRDefault="00DA12D9" w:rsidP="003D40A2">
      <w:pPr>
        <w:rPr>
          <w:rFonts w:ascii="Courier" w:hAnsi="Courier"/>
          <w:i/>
        </w:rPr>
      </w:pPr>
    </w:p>
    <w:p w14:paraId="79FAB67B" w14:textId="77777777" w:rsidR="003D40A2" w:rsidRPr="001B155F" w:rsidRDefault="003D40A2" w:rsidP="0031543D">
      <w:pPr>
        <w:spacing w:line="360" w:lineRule="auto"/>
        <w:rPr>
          <w:rFonts w:ascii="Courier" w:hAnsi="Courier"/>
        </w:rPr>
      </w:pPr>
    </w:p>
    <w:p w14:paraId="78A235A8" w14:textId="6B7A9698" w:rsidR="003D40A2" w:rsidRPr="001B155F" w:rsidRDefault="003D40A2" w:rsidP="009E496E">
      <w:pPr>
        <w:ind w:left="720" w:hanging="720"/>
        <w:rPr>
          <w:rFonts w:ascii="Courier" w:hAnsi="Courier"/>
        </w:rPr>
      </w:pPr>
      <w:r w:rsidRPr="001B155F">
        <w:rPr>
          <w:rFonts w:ascii="Courier" w:hAnsi="Courier"/>
        </w:rPr>
        <w:t>Re:</w:t>
      </w:r>
      <w:r w:rsidRPr="001B155F">
        <w:rPr>
          <w:rFonts w:ascii="Courier" w:hAnsi="Courier"/>
        </w:rPr>
        <w:tab/>
      </w:r>
      <w:r w:rsidR="00DA12D9">
        <w:rPr>
          <w:rFonts w:ascii="Courier" w:hAnsi="Courier"/>
          <w:u w:val="single"/>
        </w:rPr>
        <w:t>Cibola National Forest Mountain Ranger Districts Plan Revision – Preliminary Draft Land and Resources Management Plan</w:t>
      </w:r>
    </w:p>
    <w:p w14:paraId="263004C5" w14:textId="77777777" w:rsidR="003D40A2" w:rsidRPr="001B155F" w:rsidRDefault="003D40A2" w:rsidP="0031543D">
      <w:pPr>
        <w:spacing w:line="360" w:lineRule="auto"/>
        <w:rPr>
          <w:rFonts w:ascii="Courier" w:hAnsi="Courier"/>
        </w:rPr>
      </w:pPr>
    </w:p>
    <w:p w14:paraId="0DCD4666" w14:textId="1339E247" w:rsidR="003D40A2" w:rsidRPr="001B155F" w:rsidRDefault="003D40A2" w:rsidP="0031543D">
      <w:pPr>
        <w:spacing w:line="360" w:lineRule="auto"/>
        <w:rPr>
          <w:rFonts w:ascii="Courier" w:hAnsi="Courier"/>
        </w:rPr>
      </w:pPr>
      <w:r w:rsidRPr="001B155F">
        <w:rPr>
          <w:rFonts w:ascii="Courier" w:hAnsi="Courier"/>
        </w:rPr>
        <w:t xml:space="preserve">Dear </w:t>
      </w:r>
      <w:r w:rsidR="00DA12D9">
        <w:rPr>
          <w:rFonts w:ascii="Courier" w:hAnsi="Courier"/>
        </w:rPr>
        <w:t xml:space="preserve">Ms. </w:t>
      </w:r>
      <w:proofErr w:type="spellStart"/>
      <w:r w:rsidR="00DA12D9">
        <w:rPr>
          <w:rFonts w:ascii="Courier" w:hAnsi="Courier"/>
        </w:rPr>
        <w:t>Kohrman</w:t>
      </w:r>
      <w:proofErr w:type="spellEnd"/>
      <w:r w:rsidRPr="001B155F">
        <w:rPr>
          <w:rFonts w:ascii="Courier" w:hAnsi="Courier"/>
        </w:rPr>
        <w:t>:</w:t>
      </w:r>
    </w:p>
    <w:p w14:paraId="2EAA8C52" w14:textId="77777777" w:rsidR="00DA12D9" w:rsidRDefault="00DA12D9" w:rsidP="00D61061">
      <w:pPr>
        <w:rPr>
          <w:rFonts w:ascii="Courier" w:hAnsi="Courier"/>
        </w:rPr>
      </w:pPr>
    </w:p>
    <w:p w14:paraId="7957E74A" w14:textId="3C9859B2" w:rsidR="00422570" w:rsidRDefault="00FF00B4" w:rsidP="00D61061">
      <w:pPr>
        <w:rPr>
          <w:rFonts w:ascii="Courier" w:hAnsi="Courier"/>
        </w:rPr>
      </w:pPr>
      <w:r w:rsidRPr="001B155F">
        <w:rPr>
          <w:rFonts w:ascii="Courier" w:hAnsi="Courier"/>
        </w:rPr>
        <w:t xml:space="preserve">Catron County </w:t>
      </w:r>
      <w:r w:rsidR="00DA12D9">
        <w:rPr>
          <w:rFonts w:ascii="Courier" w:hAnsi="Courier"/>
        </w:rPr>
        <w:t>values</w:t>
      </w:r>
      <w:r w:rsidRPr="001B155F">
        <w:rPr>
          <w:rFonts w:ascii="Courier" w:hAnsi="Courier"/>
        </w:rPr>
        <w:t xml:space="preserve"> the opportunity to provide comments on the </w:t>
      </w:r>
      <w:r w:rsidR="00DA12D9">
        <w:rPr>
          <w:rFonts w:ascii="Courier" w:hAnsi="Courier"/>
        </w:rPr>
        <w:t>proposed revisions to the 1985 Plan.  We unequivocally agree with</w:t>
      </w:r>
      <w:r w:rsidR="00B41F5F">
        <w:rPr>
          <w:rFonts w:ascii="Courier" w:hAnsi="Courier"/>
        </w:rPr>
        <w:t xml:space="preserve"> and appreciate</w:t>
      </w:r>
      <w:r w:rsidR="00DA12D9">
        <w:rPr>
          <w:rFonts w:ascii="Courier" w:hAnsi="Courier"/>
        </w:rPr>
        <w:t xml:space="preserve"> the cha</w:t>
      </w:r>
      <w:r w:rsidR="00422570">
        <w:rPr>
          <w:rFonts w:ascii="Courier" w:hAnsi="Courier"/>
        </w:rPr>
        <w:t>racterization of our region on page nine (9), lines 1-11 of the Plan Revision.  The areas of Forest within Catron County and the surrounding region are unique in the cultu</w:t>
      </w:r>
      <w:r w:rsidR="00B41F5F">
        <w:rPr>
          <w:rFonts w:ascii="Courier" w:hAnsi="Courier"/>
        </w:rPr>
        <w:t>ral, recreational, economic,</w:t>
      </w:r>
      <w:r w:rsidR="00422570">
        <w:rPr>
          <w:rFonts w:ascii="Courier" w:hAnsi="Courier"/>
        </w:rPr>
        <w:t xml:space="preserve"> historic, and scientific opportunities they provide.  The Forest’s commitment to preserving water sources</w:t>
      </w:r>
      <w:r w:rsidR="00B41F5F">
        <w:rPr>
          <w:rFonts w:ascii="Courier" w:hAnsi="Courier"/>
        </w:rPr>
        <w:t>, found on pages 56-57 of the Plan,</w:t>
      </w:r>
      <w:r w:rsidR="00422570">
        <w:rPr>
          <w:rFonts w:ascii="Courier" w:hAnsi="Courier"/>
        </w:rPr>
        <w:t xml:space="preserve"> such as the San Augustin Basin, is an objective common to Catron County and its residents as well.</w:t>
      </w:r>
    </w:p>
    <w:p w14:paraId="0B0ED4A4" w14:textId="77777777" w:rsidR="00422570" w:rsidRDefault="00422570" w:rsidP="00D61061">
      <w:pPr>
        <w:rPr>
          <w:rFonts w:ascii="Courier" w:hAnsi="Courier"/>
        </w:rPr>
      </w:pPr>
    </w:p>
    <w:p w14:paraId="7EAA871E" w14:textId="4AFA924D" w:rsidR="00A57A64" w:rsidRDefault="00422570" w:rsidP="00D61061">
      <w:pPr>
        <w:rPr>
          <w:rFonts w:ascii="Courier" w:hAnsi="Courier"/>
        </w:rPr>
      </w:pPr>
      <w:r>
        <w:rPr>
          <w:rFonts w:ascii="Courier" w:hAnsi="Courier"/>
        </w:rPr>
        <w:t xml:space="preserve">After reviewing the Plan, the County </w:t>
      </w:r>
      <w:r w:rsidR="00B41F5F">
        <w:rPr>
          <w:rFonts w:ascii="Courier" w:hAnsi="Courier"/>
        </w:rPr>
        <w:t>finds the most merit in</w:t>
      </w:r>
      <w:r>
        <w:rPr>
          <w:rFonts w:ascii="Courier" w:hAnsi="Courier"/>
        </w:rPr>
        <w:t xml:space="preserve"> </w:t>
      </w:r>
      <w:r w:rsidR="003361C9">
        <w:rPr>
          <w:rFonts w:ascii="Courier" w:hAnsi="Courier"/>
        </w:rPr>
        <w:t xml:space="preserve">Alternative C.  The designation of new wilderness areas </w:t>
      </w:r>
      <w:r w:rsidR="00A57A64">
        <w:rPr>
          <w:rFonts w:ascii="Courier" w:hAnsi="Courier"/>
        </w:rPr>
        <w:t>will eliminate recreational vehicle use, decrease access, and expose the new areas to devastating wildfires due to limited access and over-growth of vegetation.  The designation of expansive tracts as wilderness necessarily results in the diminution of the objective to permit variable uses of, and activities upon, federal lands.</w:t>
      </w:r>
      <w:r w:rsidR="00DA369B">
        <w:rPr>
          <w:rFonts w:ascii="Courier" w:hAnsi="Courier"/>
        </w:rPr>
        <w:t xml:space="preserve">  Additional designations within the Forest would negatively impact economic development and tax revenues due to decreased use of the Forest.</w:t>
      </w:r>
    </w:p>
    <w:p w14:paraId="1B78DD55" w14:textId="77777777" w:rsidR="00A57A64" w:rsidRDefault="00A57A64" w:rsidP="00D61061">
      <w:pPr>
        <w:rPr>
          <w:rFonts w:ascii="Courier" w:hAnsi="Courier"/>
        </w:rPr>
      </w:pPr>
    </w:p>
    <w:p w14:paraId="5CB1AA66" w14:textId="4FF08F83" w:rsidR="00DA369B" w:rsidRDefault="00A57A64" w:rsidP="00D61061">
      <w:pPr>
        <w:rPr>
          <w:rFonts w:ascii="Courier" w:hAnsi="Courier"/>
        </w:rPr>
      </w:pPr>
      <w:r>
        <w:rPr>
          <w:rFonts w:ascii="Courier" w:hAnsi="Courier"/>
        </w:rPr>
        <w:t xml:space="preserve">Alternative C also </w:t>
      </w:r>
      <w:r w:rsidR="00DA369B">
        <w:rPr>
          <w:rFonts w:ascii="Courier" w:hAnsi="Courier"/>
        </w:rPr>
        <w:t>eliminates</w:t>
      </w:r>
      <w:r w:rsidR="00E445A8">
        <w:rPr>
          <w:rFonts w:ascii="Courier" w:hAnsi="Courier"/>
        </w:rPr>
        <w:t xml:space="preserve"> </w:t>
      </w:r>
      <w:r>
        <w:rPr>
          <w:rFonts w:ascii="Courier" w:hAnsi="Courier"/>
        </w:rPr>
        <w:t xml:space="preserve">new Management Areas.  </w:t>
      </w:r>
      <w:r w:rsidR="00E445A8">
        <w:rPr>
          <w:rFonts w:ascii="Courier" w:hAnsi="Courier"/>
        </w:rPr>
        <w:t xml:space="preserve">Although Management Areas are laudably described as the specialized management of specific </w:t>
      </w:r>
      <w:r w:rsidR="00E445A8">
        <w:rPr>
          <w:rFonts w:ascii="Courier" w:hAnsi="Courier"/>
        </w:rPr>
        <w:lastRenderedPageBreak/>
        <w:t xml:space="preserve">parcels with a common set of plan components, the potential for additional levels of unneeded bureaucracy weigh against the creation of such areas.  It is unclear whether current funding is adequate to manage lands under the existing system, let alone whether there will be sufficient funding to manage additional, specialized areas.  Without further designations such as Wilderness or Management Areas, additional law enforcement and other personnel required to manage such designations will not be required.  As it stands, Catron County does not </w:t>
      </w:r>
      <w:r w:rsidR="00DA369B">
        <w:rPr>
          <w:rFonts w:ascii="Courier" w:hAnsi="Courier"/>
        </w:rPr>
        <w:t>have a U.S. Fish &amp; Wildlife officer assigned to the County. Extra levels of Management would be costly to the federal government and have undesirable consequences to the current management system</w:t>
      </w:r>
      <w:r w:rsidR="00E75BCA">
        <w:rPr>
          <w:rFonts w:ascii="Courier" w:hAnsi="Courier"/>
        </w:rPr>
        <w:t xml:space="preserve">, </w:t>
      </w:r>
      <w:r w:rsidR="00DA369B">
        <w:rPr>
          <w:rFonts w:ascii="Courier" w:hAnsi="Courier"/>
        </w:rPr>
        <w:t xml:space="preserve">which is operating effectively, for the most part.   </w:t>
      </w:r>
    </w:p>
    <w:p w14:paraId="6A8ACA51" w14:textId="77777777" w:rsidR="00DA369B" w:rsidRDefault="00DA369B" w:rsidP="00D61061">
      <w:pPr>
        <w:rPr>
          <w:rFonts w:ascii="Courier" w:hAnsi="Courier"/>
        </w:rPr>
      </w:pPr>
    </w:p>
    <w:p w14:paraId="4E49B4B2" w14:textId="055AA29E" w:rsidR="00B41F5F" w:rsidRDefault="00DA369B" w:rsidP="00B41F5F">
      <w:pPr>
        <w:rPr>
          <w:rFonts w:ascii="Courier" w:hAnsi="Courier"/>
        </w:rPr>
      </w:pPr>
      <w:r>
        <w:rPr>
          <w:rFonts w:ascii="Courier" w:hAnsi="Courier"/>
        </w:rPr>
        <w:t xml:space="preserve">Alternative C </w:t>
      </w:r>
      <w:r w:rsidR="00E75BCA">
        <w:rPr>
          <w:rFonts w:ascii="Courier" w:hAnsi="Courier"/>
        </w:rPr>
        <w:t xml:space="preserve">gives due regard for the successful management of the Forest to date, and the significant contributions of both Federal agencies and land owners to effectively striking balance among multiple interests.  This balance may be upset by the imposition of additional management areas and wilderness designations that are not well considered, sufficiently funded, or even necessary. Further, the other proposed Alternatives are startling in their potential impact </w:t>
      </w:r>
      <w:r w:rsidR="00B41F5F">
        <w:rPr>
          <w:rFonts w:ascii="Courier" w:hAnsi="Courier"/>
        </w:rPr>
        <w:t xml:space="preserve">upon landowners and the creation of unfunded mandates upon allotment owners. </w:t>
      </w:r>
    </w:p>
    <w:p w14:paraId="011D40CC" w14:textId="77777777" w:rsidR="00B41F5F" w:rsidRDefault="00B41F5F" w:rsidP="00B41F5F">
      <w:pPr>
        <w:rPr>
          <w:rFonts w:ascii="Courier" w:hAnsi="Courier"/>
        </w:rPr>
      </w:pPr>
    </w:p>
    <w:p w14:paraId="39F3CF96" w14:textId="3D00FF18" w:rsidR="00B41F5F" w:rsidRDefault="00B41F5F" w:rsidP="00B41F5F">
      <w:pPr>
        <w:rPr>
          <w:rFonts w:ascii="Courier" w:hAnsi="Courier"/>
        </w:rPr>
      </w:pPr>
      <w:r>
        <w:rPr>
          <w:rFonts w:ascii="Courier" w:hAnsi="Courier"/>
        </w:rPr>
        <w:t>Catron County is reliant upon the stable management of the Cibola National Forest, and favors the current management structure along with the future guarantees of continued stability that Alternative C provides.  Please contact us with any further questions or concerns you may have in regard to our position.</w:t>
      </w:r>
    </w:p>
    <w:p w14:paraId="531972C3" w14:textId="77777777" w:rsidR="00B41F5F" w:rsidRDefault="00B41F5F" w:rsidP="001B155F">
      <w:pPr>
        <w:rPr>
          <w:rFonts w:ascii="Courier" w:hAnsi="Courier"/>
        </w:rPr>
      </w:pPr>
    </w:p>
    <w:p w14:paraId="7301F7DD" w14:textId="125485AC" w:rsidR="00A91839" w:rsidRDefault="004D6D22" w:rsidP="00A91839">
      <w:pPr>
        <w:rPr>
          <w:rFonts w:ascii="Courier" w:hAnsi="Courier"/>
        </w:rPr>
      </w:pPr>
      <w:r>
        <w:rPr>
          <w:rFonts w:ascii="Courier" w:hAnsi="Courier"/>
        </w:rPr>
        <w:t xml:space="preserve"> </w:t>
      </w:r>
    </w:p>
    <w:p w14:paraId="57EA93D1" w14:textId="77777777" w:rsidR="00A91839" w:rsidRDefault="00A91839" w:rsidP="00A91839">
      <w:pPr>
        <w:rPr>
          <w:rFonts w:ascii="Courier" w:hAnsi="Courier"/>
        </w:rPr>
      </w:pPr>
    </w:p>
    <w:p w14:paraId="68F2ED33" w14:textId="77777777" w:rsidR="0031543D" w:rsidRDefault="0031543D" w:rsidP="00A91839"/>
    <w:p w14:paraId="6B8D86E4" w14:textId="77777777" w:rsidR="00A91839" w:rsidRDefault="00A91839" w:rsidP="00A91839"/>
    <w:p w14:paraId="4A82B1E4" w14:textId="78395015" w:rsidR="0031543D" w:rsidRDefault="0031543D" w:rsidP="00A91839">
      <w:r>
        <w:t>_______________________________________</w:t>
      </w:r>
      <w:r>
        <w:tab/>
      </w:r>
      <w:r>
        <w:tab/>
      </w:r>
      <w:r>
        <w:tab/>
      </w:r>
      <w:r>
        <w:tab/>
      </w:r>
      <w:r>
        <w:tab/>
      </w:r>
    </w:p>
    <w:p w14:paraId="49C2201A" w14:textId="3D5686DD" w:rsidR="00A91839" w:rsidRDefault="00B41F5F" w:rsidP="00A91839">
      <w:r>
        <w:t>Anita Hand</w:t>
      </w:r>
      <w:r w:rsidR="00A91839">
        <w:t xml:space="preserve">, </w:t>
      </w:r>
      <w:r>
        <w:t>Vice-Chairperson</w:t>
      </w:r>
      <w:r w:rsidR="00A91839">
        <w:t xml:space="preserve"> </w:t>
      </w:r>
    </w:p>
    <w:p w14:paraId="440264F8" w14:textId="1ABBB91E" w:rsidR="00A91839" w:rsidRDefault="00A91839" w:rsidP="00A91839">
      <w:r>
        <w:t>Board of County Commissioners of Catron County</w:t>
      </w:r>
    </w:p>
    <w:p w14:paraId="12EF550B" w14:textId="0B593455" w:rsidR="00A91839" w:rsidRPr="007D6B1A" w:rsidRDefault="0031543D" w:rsidP="00A91839">
      <w:pPr>
        <w:spacing w:line="360" w:lineRule="auto"/>
      </w:pPr>
      <w:r>
        <w:t xml:space="preserve"> </w:t>
      </w:r>
    </w:p>
    <w:p w14:paraId="56ABF4BF" w14:textId="19F63D18" w:rsidR="00953BA1" w:rsidRPr="007D6B1A" w:rsidRDefault="00953BA1" w:rsidP="00953BA1">
      <w:pPr>
        <w:ind w:right="720"/>
        <w:contextualSpacing/>
      </w:pPr>
    </w:p>
    <w:sectPr w:rsidR="00953BA1" w:rsidRPr="007D6B1A" w:rsidSect="00501257">
      <w:headerReference w:type="default" r:id="rId8"/>
      <w:footerReference w:type="default" r:id="rId9"/>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C5612" w14:textId="77777777" w:rsidR="008E7C55" w:rsidRDefault="008E7C55" w:rsidP="004E1858">
      <w:r>
        <w:separator/>
      </w:r>
    </w:p>
  </w:endnote>
  <w:endnote w:type="continuationSeparator" w:id="0">
    <w:p w14:paraId="51F35A82" w14:textId="77777777" w:rsidR="008E7C55" w:rsidRDefault="008E7C55" w:rsidP="004E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00000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18541" w14:textId="77777777" w:rsidR="00B41F5F" w:rsidRPr="00BE4938" w:rsidRDefault="00B41F5F" w:rsidP="007124E5">
    <w:pPr>
      <w:pStyle w:val="Footer"/>
      <w:pBdr>
        <w:top w:val="single" w:sz="4" w:space="1" w:color="auto"/>
      </w:pBdr>
      <w:rPr>
        <w:b/>
        <w:sz w:val="24"/>
      </w:rPr>
    </w:pPr>
    <w:r w:rsidRPr="00BE4938">
      <w:rPr>
        <w:b/>
        <w:sz w:val="24"/>
      </w:rPr>
      <w:ptab w:relativeTo="margin" w:alignment="center" w:leader="none"/>
    </w:r>
    <w:r w:rsidRPr="00BE4938">
      <w:rPr>
        <w:b/>
        <w:sz w:val="24"/>
      </w:rPr>
      <w:t>Reserve, NM 87830</w:t>
    </w:r>
    <w:r w:rsidRPr="00BE4938">
      <w:rPr>
        <w:b/>
        <w:sz w:val="24"/>
      </w:rP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FE434" w14:textId="77777777" w:rsidR="008E7C55" w:rsidRDefault="008E7C55" w:rsidP="004E1858">
      <w:r>
        <w:separator/>
      </w:r>
    </w:p>
  </w:footnote>
  <w:footnote w:type="continuationSeparator" w:id="0">
    <w:p w14:paraId="07E3D414" w14:textId="77777777" w:rsidR="008E7C55" w:rsidRDefault="008E7C55" w:rsidP="004E1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8"/>
      <w:gridCol w:w="5310"/>
      <w:gridCol w:w="2790"/>
    </w:tblGrid>
    <w:tr w:rsidR="00B41F5F" w14:paraId="3BBAF77C" w14:textId="77777777" w:rsidTr="001D2C97">
      <w:trPr>
        <w:trHeight w:val="3600"/>
      </w:trPr>
      <w:tc>
        <w:tcPr>
          <w:tcW w:w="2898" w:type="dxa"/>
        </w:tcPr>
        <w:p w14:paraId="6935201B" w14:textId="77777777" w:rsidR="00B41F5F" w:rsidRPr="00BE4938" w:rsidRDefault="00B41F5F">
          <w:pPr>
            <w:pStyle w:val="Header"/>
            <w:rPr>
              <w:b/>
              <w:sz w:val="20"/>
            </w:rPr>
          </w:pPr>
          <w:r>
            <w:rPr>
              <w:b/>
              <w:sz w:val="20"/>
            </w:rPr>
            <w:t>M. Keith Riddle</w:t>
          </w:r>
        </w:p>
        <w:p w14:paraId="361D9F31" w14:textId="77777777" w:rsidR="00B41F5F" w:rsidRPr="00BE4938" w:rsidRDefault="00B41F5F">
          <w:pPr>
            <w:pStyle w:val="Header"/>
            <w:rPr>
              <w:sz w:val="18"/>
            </w:rPr>
          </w:pPr>
          <w:r w:rsidRPr="00BE4938">
            <w:rPr>
              <w:sz w:val="18"/>
            </w:rPr>
            <w:t>Clerk – PO Box 197</w:t>
          </w:r>
        </w:p>
        <w:p w14:paraId="2970DADE" w14:textId="77777777" w:rsidR="00B41F5F" w:rsidRPr="00BE4938" w:rsidRDefault="00B41F5F">
          <w:pPr>
            <w:pStyle w:val="Header"/>
            <w:rPr>
              <w:sz w:val="18"/>
            </w:rPr>
          </w:pPr>
          <w:r w:rsidRPr="00BE4938">
            <w:rPr>
              <w:sz w:val="18"/>
            </w:rPr>
            <w:t>(575) 533-6400</w:t>
          </w:r>
        </w:p>
        <w:p w14:paraId="698935BC" w14:textId="77777777" w:rsidR="00B41F5F" w:rsidRPr="00BE4938" w:rsidRDefault="00B41F5F">
          <w:pPr>
            <w:pStyle w:val="Header"/>
            <w:rPr>
              <w:sz w:val="8"/>
            </w:rPr>
          </w:pPr>
        </w:p>
        <w:p w14:paraId="4FDF6B40" w14:textId="77777777" w:rsidR="00B41F5F" w:rsidRPr="00BE4938" w:rsidRDefault="00B41F5F">
          <w:pPr>
            <w:pStyle w:val="Header"/>
            <w:rPr>
              <w:b/>
              <w:sz w:val="20"/>
            </w:rPr>
          </w:pPr>
          <w:r>
            <w:rPr>
              <w:b/>
              <w:sz w:val="20"/>
            </w:rPr>
            <w:t>Connie Sue Shipley</w:t>
          </w:r>
        </w:p>
        <w:p w14:paraId="49225D0D" w14:textId="77777777" w:rsidR="00B41F5F" w:rsidRPr="00BE4938" w:rsidRDefault="00B41F5F">
          <w:pPr>
            <w:pStyle w:val="Header"/>
            <w:rPr>
              <w:sz w:val="18"/>
            </w:rPr>
          </w:pPr>
          <w:r w:rsidRPr="00BE4938">
            <w:rPr>
              <w:sz w:val="18"/>
            </w:rPr>
            <w:t>Treasurer – PO Box 407</w:t>
          </w:r>
        </w:p>
        <w:p w14:paraId="46589DA7" w14:textId="77777777" w:rsidR="00B41F5F" w:rsidRPr="00BE4938" w:rsidRDefault="00B41F5F">
          <w:pPr>
            <w:pStyle w:val="Header"/>
            <w:rPr>
              <w:sz w:val="18"/>
            </w:rPr>
          </w:pPr>
          <w:r w:rsidRPr="00BE4938">
            <w:rPr>
              <w:sz w:val="18"/>
            </w:rPr>
            <w:t>(575) 533-6384</w:t>
          </w:r>
        </w:p>
        <w:p w14:paraId="50A4F904" w14:textId="77777777" w:rsidR="00B41F5F" w:rsidRPr="00BE4938" w:rsidRDefault="00B41F5F">
          <w:pPr>
            <w:pStyle w:val="Header"/>
            <w:rPr>
              <w:sz w:val="8"/>
            </w:rPr>
          </w:pPr>
        </w:p>
        <w:p w14:paraId="63F1F720" w14:textId="77777777" w:rsidR="00B41F5F" w:rsidRPr="00BE4938" w:rsidRDefault="00B41F5F">
          <w:pPr>
            <w:pStyle w:val="Header"/>
            <w:rPr>
              <w:b/>
              <w:sz w:val="20"/>
            </w:rPr>
          </w:pPr>
          <w:r w:rsidRPr="00BE4938">
            <w:rPr>
              <w:b/>
              <w:sz w:val="20"/>
            </w:rPr>
            <w:t>Susan E. Griffin</w:t>
          </w:r>
        </w:p>
        <w:p w14:paraId="54A27D4F" w14:textId="77777777" w:rsidR="00B41F5F" w:rsidRPr="00BE4938" w:rsidRDefault="00B41F5F">
          <w:pPr>
            <w:pStyle w:val="Header"/>
            <w:rPr>
              <w:sz w:val="18"/>
            </w:rPr>
          </w:pPr>
          <w:r w:rsidRPr="00BE4938">
            <w:rPr>
              <w:sz w:val="18"/>
            </w:rPr>
            <w:t>Assessor – PO Box 416</w:t>
          </w:r>
        </w:p>
        <w:p w14:paraId="78AE351C" w14:textId="77777777" w:rsidR="00B41F5F" w:rsidRPr="00BE4938" w:rsidRDefault="00B41F5F">
          <w:pPr>
            <w:pStyle w:val="Header"/>
            <w:rPr>
              <w:sz w:val="18"/>
            </w:rPr>
          </w:pPr>
          <w:r w:rsidRPr="00BE4938">
            <w:rPr>
              <w:sz w:val="18"/>
            </w:rPr>
            <w:t>(575) 533-6577</w:t>
          </w:r>
        </w:p>
        <w:p w14:paraId="4E386536" w14:textId="77777777" w:rsidR="00B41F5F" w:rsidRPr="00BE4938" w:rsidRDefault="00B41F5F">
          <w:pPr>
            <w:pStyle w:val="Header"/>
            <w:rPr>
              <w:sz w:val="8"/>
            </w:rPr>
          </w:pPr>
        </w:p>
        <w:p w14:paraId="648FB423" w14:textId="77777777" w:rsidR="00B41F5F" w:rsidRPr="00BE4938" w:rsidRDefault="00B41F5F">
          <w:pPr>
            <w:pStyle w:val="Header"/>
            <w:rPr>
              <w:b/>
              <w:sz w:val="20"/>
            </w:rPr>
          </w:pPr>
          <w:r>
            <w:rPr>
              <w:b/>
              <w:sz w:val="20"/>
            </w:rPr>
            <w:t>Ian Fletcher</w:t>
          </w:r>
        </w:p>
        <w:p w14:paraId="77FE95A7" w14:textId="77777777" w:rsidR="00B41F5F" w:rsidRPr="00BE4938" w:rsidRDefault="00B41F5F">
          <w:pPr>
            <w:pStyle w:val="Header"/>
            <w:rPr>
              <w:sz w:val="18"/>
            </w:rPr>
          </w:pPr>
          <w:r w:rsidRPr="00BE4938">
            <w:rPr>
              <w:sz w:val="18"/>
            </w:rPr>
            <w:t>Sheriff – PO Box 467</w:t>
          </w:r>
        </w:p>
        <w:p w14:paraId="7CC019EE" w14:textId="77777777" w:rsidR="00B41F5F" w:rsidRPr="00BE4938" w:rsidRDefault="00B41F5F">
          <w:pPr>
            <w:pStyle w:val="Header"/>
            <w:rPr>
              <w:sz w:val="18"/>
            </w:rPr>
          </w:pPr>
          <w:r w:rsidRPr="00BE4938">
            <w:rPr>
              <w:sz w:val="18"/>
            </w:rPr>
            <w:t>(575) 533-6222</w:t>
          </w:r>
        </w:p>
        <w:p w14:paraId="70AFBFCF" w14:textId="77777777" w:rsidR="00B41F5F" w:rsidRPr="00BE4938" w:rsidRDefault="00B41F5F">
          <w:pPr>
            <w:pStyle w:val="Header"/>
            <w:rPr>
              <w:sz w:val="8"/>
            </w:rPr>
          </w:pPr>
        </w:p>
        <w:p w14:paraId="215E6E40" w14:textId="77777777" w:rsidR="00B41F5F" w:rsidRPr="00BE4938" w:rsidRDefault="00B41F5F">
          <w:pPr>
            <w:pStyle w:val="Header"/>
            <w:rPr>
              <w:b/>
              <w:sz w:val="20"/>
            </w:rPr>
          </w:pPr>
          <w:r>
            <w:rPr>
              <w:b/>
              <w:sz w:val="20"/>
            </w:rPr>
            <w:t>Ed Wehrheim</w:t>
          </w:r>
        </w:p>
        <w:p w14:paraId="3EB83F14" w14:textId="77777777" w:rsidR="00B41F5F" w:rsidRDefault="00B41F5F">
          <w:pPr>
            <w:pStyle w:val="Header"/>
          </w:pPr>
          <w:r w:rsidRPr="00BE4938">
            <w:rPr>
              <w:sz w:val="18"/>
            </w:rPr>
            <w:t>Probate Judge</w:t>
          </w:r>
        </w:p>
      </w:tc>
      <w:tc>
        <w:tcPr>
          <w:tcW w:w="5310" w:type="dxa"/>
        </w:tcPr>
        <w:p w14:paraId="3D58B416" w14:textId="77777777" w:rsidR="00B41F5F" w:rsidRDefault="00B41F5F" w:rsidP="00BE4938">
          <w:pPr>
            <w:pStyle w:val="Header"/>
            <w:jc w:val="center"/>
          </w:pPr>
          <w:r>
            <w:rPr>
              <w:noProof/>
            </w:rPr>
            <w:drawing>
              <wp:inline distT="0" distB="0" distL="0" distR="0" wp14:anchorId="3E274321" wp14:editId="03470E9A">
                <wp:extent cx="2840091" cy="22748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8469" cy="2321609"/>
                        </a:xfrm>
                        <a:prstGeom prst="rect">
                          <a:avLst/>
                        </a:prstGeom>
                        <a:noFill/>
                      </pic:spPr>
                    </pic:pic>
                  </a:graphicData>
                </a:graphic>
              </wp:inline>
            </w:drawing>
          </w:r>
        </w:p>
        <w:p w14:paraId="0F019752" w14:textId="77777777" w:rsidR="00B41F5F" w:rsidRDefault="00B41F5F" w:rsidP="00BE4938">
          <w:pPr>
            <w:pStyle w:val="Header"/>
          </w:pPr>
          <w:r>
            <w:ptab w:relativeTo="margin" w:alignment="center" w:leader="none"/>
          </w:r>
        </w:p>
      </w:tc>
      <w:tc>
        <w:tcPr>
          <w:tcW w:w="2790" w:type="dxa"/>
        </w:tcPr>
        <w:p w14:paraId="4B16EAC6" w14:textId="77777777" w:rsidR="00B41F5F" w:rsidRPr="00BE4938" w:rsidRDefault="00B41F5F" w:rsidP="006962AC">
          <w:pPr>
            <w:pStyle w:val="Header"/>
            <w:jc w:val="right"/>
            <w:rPr>
              <w:b/>
              <w:sz w:val="20"/>
            </w:rPr>
          </w:pPr>
          <w:r>
            <w:rPr>
              <w:b/>
              <w:sz w:val="20"/>
            </w:rPr>
            <w:t>Anita A. Hand</w:t>
          </w:r>
        </w:p>
        <w:p w14:paraId="49397A6E" w14:textId="77777777" w:rsidR="00B41F5F" w:rsidRPr="00BE4938" w:rsidRDefault="00B41F5F" w:rsidP="006962AC">
          <w:pPr>
            <w:pStyle w:val="Header"/>
            <w:jc w:val="right"/>
            <w:rPr>
              <w:sz w:val="18"/>
            </w:rPr>
          </w:pPr>
          <w:r w:rsidRPr="00BE4938">
            <w:rPr>
              <w:sz w:val="18"/>
            </w:rPr>
            <w:t>Commissioner</w:t>
          </w:r>
        </w:p>
        <w:p w14:paraId="3D1AB942" w14:textId="77777777" w:rsidR="00B41F5F" w:rsidRPr="00BE4938" w:rsidRDefault="00B41F5F" w:rsidP="006962AC">
          <w:pPr>
            <w:pStyle w:val="Header"/>
            <w:jc w:val="right"/>
            <w:rPr>
              <w:sz w:val="18"/>
            </w:rPr>
          </w:pPr>
          <w:r w:rsidRPr="00BE4938">
            <w:rPr>
              <w:sz w:val="18"/>
            </w:rPr>
            <w:t>District No. 1</w:t>
          </w:r>
        </w:p>
        <w:p w14:paraId="4541F703" w14:textId="77777777" w:rsidR="00B41F5F" w:rsidRPr="00BE4938" w:rsidRDefault="00B41F5F" w:rsidP="006962AC">
          <w:pPr>
            <w:pStyle w:val="Header"/>
            <w:jc w:val="right"/>
            <w:rPr>
              <w:sz w:val="8"/>
            </w:rPr>
          </w:pPr>
        </w:p>
        <w:p w14:paraId="0EAE065C" w14:textId="77777777" w:rsidR="00B41F5F" w:rsidRPr="00BE4938" w:rsidRDefault="00B41F5F" w:rsidP="006962AC">
          <w:pPr>
            <w:pStyle w:val="Header"/>
            <w:jc w:val="right"/>
            <w:rPr>
              <w:b/>
              <w:sz w:val="20"/>
            </w:rPr>
          </w:pPr>
          <w:r w:rsidRPr="00BE4938">
            <w:rPr>
              <w:b/>
              <w:sz w:val="20"/>
            </w:rPr>
            <w:t>Glyn Griffin</w:t>
          </w:r>
        </w:p>
        <w:p w14:paraId="4536A9D9" w14:textId="77777777" w:rsidR="00B41F5F" w:rsidRPr="00BE4938" w:rsidRDefault="00B41F5F" w:rsidP="006962AC">
          <w:pPr>
            <w:pStyle w:val="Header"/>
            <w:jc w:val="right"/>
            <w:rPr>
              <w:sz w:val="18"/>
            </w:rPr>
          </w:pPr>
          <w:r w:rsidRPr="00BE4938">
            <w:rPr>
              <w:sz w:val="18"/>
            </w:rPr>
            <w:t>Commissioner</w:t>
          </w:r>
        </w:p>
        <w:p w14:paraId="5D1ECD09" w14:textId="77777777" w:rsidR="00B41F5F" w:rsidRPr="00BE4938" w:rsidRDefault="00B41F5F" w:rsidP="006962AC">
          <w:pPr>
            <w:pStyle w:val="Header"/>
            <w:jc w:val="right"/>
            <w:rPr>
              <w:sz w:val="18"/>
            </w:rPr>
          </w:pPr>
          <w:r w:rsidRPr="00BE4938">
            <w:rPr>
              <w:sz w:val="18"/>
            </w:rPr>
            <w:t>District No. 2</w:t>
          </w:r>
        </w:p>
        <w:p w14:paraId="01ACBEFF" w14:textId="77777777" w:rsidR="00B41F5F" w:rsidRPr="00BE4938" w:rsidRDefault="00B41F5F" w:rsidP="006962AC">
          <w:pPr>
            <w:pStyle w:val="Header"/>
            <w:jc w:val="right"/>
            <w:rPr>
              <w:sz w:val="8"/>
            </w:rPr>
          </w:pPr>
        </w:p>
        <w:p w14:paraId="5B27DF41" w14:textId="77777777" w:rsidR="00B41F5F" w:rsidRPr="00BE4938" w:rsidRDefault="00B41F5F" w:rsidP="006962AC">
          <w:pPr>
            <w:pStyle w:val="Header"/>
            <w:jc w:val="right"/>
            <w:rPr>
              <w:b/>
              <w:sz w:val="20"/>
            </w:rPr>
          </w:pPr>
          <w:r>
            <w:rPr>
              <w:b/>
              <w:sz w:val="20"/>
            </w:rPr>
            <w:t>Van J. (Bucky) Allred</w:t>
          </w:r>
        </w:p>
        <w:p w14:paraId="23AC974F" w14:textId="77777777" w:rsidR="00B41F5F" w:rsidRPr="00BE4938" w:rsidRDefault="00B41F5F" w:rsidP="006962AC">
          <w:pPr>
            <w:pStyle w:val="Header"/>
            <w:jc w:val="right"/>
            <w:rPr>
              <w:sz w:val="18"/>
            </w:rPr>
          </w:pPr>
          <w:r w:rsidRPr="00BE4938">
            <w:rPr>
              <w:sz w:val="18"/>
            </w:rPr>
            <w:t>Commissioner</w:t>
          </w:r>
        </w:p>
        <w:p w14:paraId="2F358240" w14:textId="77777777" w:rsidR="00B41F5F" w:rsidRPr="00BE4938" w:rsidRDefault="00B41F5F" w:rsidP="006962AC">
          <w:pPr>
            <w:pStyle w:val="Header"/>
            <w:jc w:val="right"/>
            <w:rPr>
              <w:sz w:val="18"/>
            </w:rPr>
          </w:pPr>
          <w:r w:rsidRPr="00BE4938">
            <w:rPr>
              <w:sz w:val="18"/>
            </w:rPr>
            <w:t>District No. 3</w:t>
          </w:r>
        </w:p>
        <w:p w14:paraId="32D28ED8" w14:textId="77777777" w:rsidR="00B41F5F" w:rsidRPr="00BE4938" w:rsidRDefault="00B41F5F" w:rsidP="006962AC">
          <w:pPr>
            <w:pStyle w:val="Header"/>
            <w:jc w:val="right"/>
            <w:rPr>
              <w:sz w:val="8"/>
            </w:rPr>
          </w:pPr>
        </w:p>
        <w:p w14:paraId="52BEB3C8" w14:textId="77777777" w:rsidR="00B41F5F" w:rsidRPr="00BE4938" w:rsidRDefault="00B41F5F" w:rsidP="007124E5">
          <w:pPr>
            <w:pStyle w:val="Header"/>
            <w:jc w:val="right"/>
            <w:rPr>
              <w:b/>
              <w:sz w:val="20"/>
            </w:rPr>
          </w:pPr>
          <w:r w:rsidRPr="00BE4938">
            <w:rPr>
              <w:b/>
              <w:sz w:val="20"/>
            </w:rPr>
            <w:t>Commission Office</w:t>
          </w:r>
        </w:p>
        <w:p w14:paraId="7903EC26" w14:textId="77777777" w:rsidR="00B41F5F" w:rsidRPr="00BE4938" w:rsidRDefault="00B41F5F" w:rsidP="007124E5">
          <w:pPr>
            <w:pStyle w:val="Header"/>
            <w:jc w:val="right"/>
            <w:rPr>
              <w:b/>
              <w:sz w:val="20"/>
            </w:rPr>
          </w:pPr>
          <w:r w:rsidRPr="00BE4938">
            <w:rPr>
              <w:sz w:val="18"/>
            </w:rPr>
            <w:t>PO Box 507 – (575) 533-6423</w:t>
          </w:r>
        </w:p>
        <w:p w14:paraId="26876E9C" w14:textId="77777777" w:rsidR="00B41F5F" w:rsidRPr="00BE4938" w:rsidRDefault="00B41F5F" w:rsidP="006962AC">
          <w:pPr>
            <w:pStyle w:val="Header"/>
            <w:jc w:val="right"/>
            <w:rPr>
              <w:sz w:val="18"/>
            </w:rPr>
          </w:pPr>
          <w:r w:rsidRPr="00BE4938">
            <w:rPr>
              <w:sz w:val="18"/>
            </w:rPr>
            <w:t>FAX (575) 533-6433</w:t>
          </w:r>
        </w:p>
        <w:p w14:paraId="34AB1371" w14:textId="77777777" w:rsidR="00B41F5F" w:rsidRPr="00BE4938" w:rsidRDefault="00B41F5F" w:rsidP="006962AC">
          <w:pPr>
            <w:pStyle w:val="Header"/>
            <w:jc w:val="right"/>
            <w:rPr>
              <w:sz w:val="8"/>
            </w:rPr>
          </w:pPr>
        </w:p>
        <w:p w14:paraId="22159571" w14:textId="77777777" w:rsidR="00B41F5F" w:rsidRPr="00BE4938" w:rsidRDefault="00B41F5F" w:rsidP="006962AC">
          <w:pPr>
            <w:pStyle w:val="Header"/>
            <w:jc w:val="right"/>
            <w:rPr>
              <w:b/>
              <w:sz w:val="20"/>
            </w:rPr>
          </w:pPr>
          <w:r>
            <w:rPr>
              <w:b/>
              <w:sz w:val="20"/>
            </w:rPr>
            <w:t>Kate Fletcher</w:t>
          </w:r>
        </w:p>
        <w:p w14:paraId="3112DD27" w14:textId="77777777" w:rsidR="00B41F5F" w:rsidRDefault="00B41F5F" w:rsidP="006962AC">
          <w:pPr>
            <w:pStyle w:val="Header"/>
            <w:jc w:val="right"/>
          </w:pPr>
          <w:r>
            <w:rPr>
              <w:sz w:val="18"/>
            </w:rPr>
            <w:t xml:space="preserve"> </w:t>
          </w:r>
          <w:r w:rsidRPr="00BE4938">
            <w:rPr>
              <w:sz w:val="18"/>
            </w:rPr>
            <w:t>County Manager</w:t>
          </w:r>
        </w:p>
      </w:tc>
    </w:tr>
  </w:tbl>
  <w:p w14:paraId="0EB5337B" w14:textId="77777777" w:rsidR="00B41F5F" w:rsidRDefault="00B41F5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A046C"/>
    <w:multiLevelType w:val="multilevel"/>
    <w:tmpl w:val="B4D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3B1D80"/>
    <w:multiLevelType w:val="hybridMultilevel"/>
    <w:tmpl w:val="7742904C"/>
    <w:lvl w:ilvl="0" w:tplc="ACDE4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58"/>
    <w:rsid w:val="00011F9D"/>
    <w:rsid w:val="00052A6A"/>
    <w:rsid w:val="00083D7B"/>
    <w:rsid w:val="00083FC4"/>
    <w:rsid w:val="0009428E"/>
    <w:rsid w:val="00097AA3"/>
    <w:rsid w:val="000C7F85"/>
    <w:rsid w:val="000D3EBC"/>
    <w:rsid w:val="000E2B50"/>
    <w:rsid w:val="000E2C44"/>
    <w:rsid w:val="001225D7"/>
    <w:rsid w:val="00161200"/>
    <w:rsid w:val="001735C7"/>
    <w:rsid w:val="001B155F"/>
    <w:rsid w:val="001C26EC"/>
    <w:rsid w:val="001D2C97"/>
    <w:rsid w:val="001E42E8"/>
    <w:rsid w:val="00233D34"/>
    <w:rsid w:val="002353DE"/>
    <w:rsid w:val="00252F72"/>
    <w:rsid w:val="002571D0"/>
    <w:rsid w:val="00270A71"/>
    <w:rsid w:val="002966D1"/>
    <w:rsid w:val="002C042E"/>
    <w:rsid w:val="002E2097"/>
    <w:rsid w:val="0031543D"/>
    <w:rsid w:val="003361C9"/>
    <w:rsid w:val="0035327C"/>
    <w:rsid w:val="003550E4"/>
    <w:rsid w:val="00356520"/>
    <w:rsid w:val="00356A69"/>
    <w:rsid w:val="00381CE0"/>
    <w:rsid w:val="00384EF5"/>
    <w:rsid w:val="00396DDC"/>
    <w:rsid w:val="003A0365"/>
    <w:rsid w:val="003A43AE"/>
    <w:rsid w:val="003C06BB"/>
    <w:rsid w:val="003D40A2"/>
    <w:rsid w:val="003E7B31"/>
    <w:rsid w:val="00407A3D"/>
    <w:rsid w:val="00413FB2"/>
    <w:rsid w:val="00422570"/>
    <w:rsid w:val="0042340C"/>
    <w:rsid w:val="00447A96"/>
    <w:rsid w:val="004612E1"/>
    <w:rsid w:val="00467022"/>
    <w:rsid w:val="004847E8"/>
    <w:rsid w:val="0049229D"/>
    <w:rsid w:val="004A0483"/>
    <w:rsid w:val="004B7BA7"/>
    <w:rsid w:val="004C3C25"/>
    <w:rsid w:val="004D6D22"/>
    <w:rsid w:val="004E1858"/>
    <w:rsid w:val="004F1DD4"/>
    <w:rsid w:val="00501257"/>
    <w:rsid w:val="005C4371"/>
    <w:rsid w:val="005D3456"/>
    <w:rsid w:val="005D54FC"/>
    <w:rsid w:val="005F19AE"/>
    <w:rsid w:val="005F6A0F"/>
    <w:rsid w:val="00603314"/>
    <w:rsid w:val="00616FB4"/>
    <w:rsid w:val="00653D7B"/>
    <w:rsid w:val="006962AC"/>
    <w:rsid w:val="006C05FB"/>
    <w:rsid w:val="006C6F7B"/>
    <w:rsid w:val="006D0051"/>
    <w:rsid w:val="006D3BD2"/>
    <w:rsid w:val="006E60E4"/>
    <w:rsid w:val="007124E5"/>
    <w:rsid w:val="00716F64"/>
    <w:rsid w:val="00726AA2"/>
    <w:rsid w:val="0074126E"/>
    <w:rsid w:val="00766379"/>
    <w:rsid w:val="007D6B1A"/>
    <w:rsid w:val="007F5371"/>
    <w:rsid w:val="00810171"/>
    <w:rsid w:val="00816F75"/>
    <w:rsid w:val="00880F68"/>
    <w:rsid w:val="0088456C"/>
    <w:rsid w:val="008E039A"/>
    <w:rsid w:val="008E7C55"/>
    <w:rsid w:val="008F0E0D"/>
    <w:rsid w:val="009015BA"/>
    <w:rsid w:val="009408A1"/>
    <w:rsid w:val="00944E86"/>
    <w:rsid w:val="00950F3B"/>
    <w:rsid w:val="00953BA1"/>
    <w:rsid w:val="00962F37"/>
    <w:rsid w:val="009748FE"/>
    <w:rsid w:val="00977A5F"/>
    <w:rsid w:val="009836EB"/>
    <w:rsid w:val="00985647"/>
    <w:rsid w:val="009A339A"/>
    <w:rsid w:val="009B479B"/>
    <w:rsid w:val="009C186B"/>
    <w:rsid w:val="009D4646"/>
    <w:rsid w:val="009E3AF9"/>
    <w:rsid w:val="009E496E"/>
    <w:rsid w:val="00A30C7C"/>
    <w:rsid w:val="00A32DB8"/>
    <w:rsid w:val="00A57A64"/>
    <w:rsid w:val="00A75882"/>
    <w:rsid w:val="00A91839"/>
    <w:rsid w:val="00B250F1"/>
    <w:rsid w:val="00B41F5F"/>
    <w:rsid w:val="00B80C84"/>
    <w:rsid w:val="00B944C5"/>
    <w:rsid w:val="00BB018A"/>
    <w:rsid w:val="00BE1EB1"/>
    <w:rsid w:val="00BE4938"/>
    <w:rsid w:val="00C2157A"/>
    <w:rsid w:val="00C218F7"/>
    <w:rsid w:val="00C41F8E"/>
    <w:rsid w:val="00C756C0"/>
    <w:rsid w:val="00C9412F"/>
    <w:rsid w:val="00CA10BE"/>
    <w:rsid w:val="00CB3E10"/>
    <w:rsid w:val="00CF007A"/>
    <w:rsid w:val="00CF1887"/>
    <w:rsid w:val="00CF71B6"/>
    <w:rsid w:val="00D01B37"/>
    <w:rsid w:val="00D02D2B"/>
    <w:rsid w:val="00D067F9"/>
    <w:rsid w:val="00D42602"/>
    <w:rsid w:val="00D61061"/>
    <w:rsid w:val="00D634B1"/>
    <w:rsid w:val="00D6738B"/>
    <w:rsid w:val="00D859DF"/>
    <w:rsid w:val="00DA12D9"/>
    <w:rsid w:val="00DA369B"/>
    <w:rsid w:val="00DD4BF4"/>
    <w:rsid w:val="00DE3631"/>
    <w:rsid w:val="00DE4D7F"/>
    <w:rsid w:val="00DF0632"/>
    <w:rsid w:val="00DF432B"/>
    <w:rsid w:val="00E4261F"/>
    <w:rsid w:val="00E445A8"/>
    <w:rsid w:val="00E45CC3"/>
    <w:rsid w:val="00E734A3"/>
    <w:rsid w:val="00E75BCA"/>
    <w:rsid w:val="00E963B5"/>
    <w:rsid w:val="00EA7E70"/>
    <w:rsid w:val="00ED1E42"/>
    <w:rsid w:val="00F05398"/>
    <w:rsid w:val="00F14249"/>
    <w:rsid w:val="00F22A96"/>
    <w:rsid w:val="00F26E1A"/>
    <w:rsid w:val="00F3752E"/>
    <w:rsid w:val="00F543CD"/>
    <w:rsid w:val="00FA545F"/>
    <w:rsid w:val="00FB46C9"/>
    <w:rsid w:val="00FF0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4DBA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7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8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E1858"/>
  </w:style>
  <w:style w:type="paragraph" w:styleId="Footer">
    <w:name w:val="footer"/>
    <w:basedOn w:val="Normal"/>
    <w:link w:val="FooterChar"/>
    <w:uiPriority w:val="99"/>
    <w:unhideWhenUsed/>
    <w:rsid w:val="004E18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E1858"/>
  </w:style>
  <w:style w:type="paragraph" w:styleId="BalloonText">
    <w:name w:val="Balloon Text"/>
    <w:basedOn w:val="Normal"/>
    <w:link w:val="BalloonTextChar"/>
    <w:uiPriority w:val="99"/>
    <w:semiHidden/>
    <w:unhideWhenUsed/>
    <w:rsid w:val="004E18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E1858"/>
    <w:rPr>
      <w:rFonts w:ascii="Tahoma" w:hAnsi="Tahoma" w:cs="Tahoma"/>
      <w:sz w:val="16"/>
      <w:szCs w:val="16"/>
    </w:rPr>
  </w:style>
  <w:style w:type="table" w:styleId="TableGrid">
    <w:name w:val="Table Grid"/>
    <w:basedOn w:val="TableNormal"/>
    <w:uiPriority w:val="59"/>
    <w:rsid w:val="00696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E3AF9"/>
    <w:pPr>
      <w:spacing w:after="0" w:line="240" w:lineRule="auto"/>
    </w:pPr>
  </w:style>
  <w:style w:type="paragraph" w:styleId="ListParagraph">
    <w:name w:val="List Paragraph"/>
    <w:basedOn w:val="Normal"/>
    <w:uiPriority w:val="34"/>
    <w:qFormat/>
    <w:rsid w:val="00D6738B"/>
    <w:pPr>
      <w:ind w:left="720"/>
      <w:contextualSpacing/>
    </w:pPr>
  </w:style>
  <w:style w:type="character" w:styleId="Hyperlink">
    <w:name w:val="Hyperlink"/>
    <w:basedOn w:val="DefaultParagraphFont"/>
    <w:uiPriority w:val="99"/>
    <w:unhideWhenUsed/>
    <w:rsid w:val="00052A6A"/>
    <w:rPr>
      <w:color w:val="0000FF" w:themeColor="hyperlink"/>
      <w:u w:val="single"/>
    </w:rPr>
  </w:style>
  <w:style w:type="paragraph" w:styleId="NormalWeb">
    <w:name w:val="Normal (Web)"/>
    <w:basedOn w:val="Normal"/>
    <w:uiPriority w:val="99"/>
    <w:semiHidden/>
    <w:unhideWhenUsed/>
    <w:rsid w:val="00DA12D9"/>
    <w:pPr>
      <w:spacing w:before="100" w:beforeAutospacing="1" w:after="100" w:afterAutospacing="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597238">
      <w:bodyDiv w:val="1"/>
      <w:marLeft w:val="0"/>
      <w:marRight w:val="0"/>
      <w:marTop w:val="0"/>
      <w:marBottom w:val="0"/>
      <w:divBdr>
        <w:top w:val="none" w:sz="0" w:space="0" w:color="auto"/>
        <w:left w:val="none" w:sz="0" w:space="0" w:color="auto"/>
        <w:bottom w:val="none" w:sz="0" w:space="0" w:color="auto"/>
        <w:right w:val="none" w:sz="0" w:space="0" w:color="auto"/>
      </w:divBdr>
    </w:div>
    <w:div w:id="1846245091">
      <w:bodyDiv w:val="1"/>
      <w:marLeft w:val="0"/>
      <w:marRight w:val="0"/>
      <w:marTop w:val="0"/>
      <w:marBottom w:val="0"/>
      <w:divBdr>
        <w:top w:val="none" w:sz="0" w:space="0" w:color="auto"/>
        <w:left w:val="none" w:sz="0" w:space="0" w:color="auto"/>
        <w:bottom w:val="none" w:sz="0" w:space="0" w:color="auto"/>
        <w:right w:val="none" w:sz="0" w:space="0" w:color="auto"/>
      </w:divBdr>
      <w:divsChild>
        <w:div w:id="273558767">
          <w:marLeft w:val="0"/>
          <w:marRight w:val="0"/>
          <w:marTop w:val="0"/>
          <w:marBottom w:val="0"/>
          <w:divBdr>
            <w:top w:val="none" w:sz="0" w:space="0" w:color="auto"/>
            <w:left w:val="none" w:sz="0" w:space="0" w:color="auto"/>
            <w:bottom w:val="none" w:sz="0" w:space="0" w:color="auto"/>
            <w:right w:val="none" w:sz="0" w:space="0" w:color="auto"/>
          </w:divBdr>
          <w:divsChild>
            <w:div w:id="504902683">
              <w:marLeft w:val="0"/>
              <w:marRight w:val="0"/>
              <w:marTop w:val="0"/>
              <w:marBottom w:val="0"/>
              <w:divBdr>
                <w:top w:val="none" w:sz="0" w:space="0" w:color="auto"/>
                <w:left w:val="none" w:sz="0" w:space="0" w:color="auto"/>
                <w:bottom w:val="none" w:sz="0" w:space="0" w:color="auto"/>
                <w:right w:val="none" w:sz="0" w:space="0" w:color="auto"/>
              </w:divBdr>
              <w:divsChild>
                <w:div w:id="8909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9187-853F-AD45-80F9-418A0148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Catron County</dc:creator>
  <cp:lastModifiedBy>Anita Hand</cp:lastModifiedBy>
  <cp:revision>2</cp:revision>
  <cp:lastPrinted>2015-10-13T22:35:00Z</cp:lastPrinted>
  <dcterms:created xsi:type="dcterms:W3CDTF">2016-08-31T23:00:00Z</dcterms:created>
  <dcterms:modified xsi:type="dcterms:W3CDTF">2016-08-31T23:00:00Z</dcterms:modified>
</cp:coreProperties>
</file>