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8E4C5B" w:rsidRDefault="008E4C5B" w:rsidP="008E4C5B">
      <w:pPr>
        <w:ind w:left="90"/>
      </w:pPr>
    </w:p>
    <w:p w:rsidR="001A3F14" w:rsidRDefault="008E4C5B" w:rsidP="008E4C5B">
      <w:pPr>
        <w:ind w:left="90"/>
      </w:pPr>
      <w:r>
        <w:t>Name</w:t>
      </w:r>
      <w:proofErr w:type="gramStart"/>
      <w:r>
        <w:t>:_</w:t>
      </w:r>
      <w:proofErr w:type="spellStart"/>
      <w:proofErr w:type="gramEnd"/>
      <w:r w:rsidR="005F4489">
        <w:rPr>
          <w:u w:val="single"/>
        </w:rPr>
        <w:t>Claunch</w:t>
      </w:r>
      <w:proofErr w:type="spellEnd"/>
      <w:r w:rsidR="005F4489">
        <w:rPr>
          <w:u w:val="single"/>
        </w:rPr>
        <w:t>-Pinto Soil and Water Conservation District</w:t>
      </w:r>
      <w:r>
        <w:t>Phone:_</w:t>
      </w:r>
      <w:r w:rsidR="005F4489">
        <w:rPr>
          <w:u w:val="single"/>
        </w:rPr>
        <w:t>505-847-2243</w:t>
      </w:r>
      <w:r>
        <w:t>_Email:</w:t>
      </w:r>
      <w:r w:rsidR="005F4489">
        <w:rPr>
          <w:u w:val="single"/>
        </w:rPr>
        <w:t>Dierdre.Tarr@nm.nacdnet.net</w:t>
      </w:r>
    </w:p>
    <w:p w:rsidR="008E4C5B" w:rsidRDefault="008E4C5B" w:rsidP="008E4C5B">
      <w:pPr>
        <w:ind w:left="90"/>
      </w:pPr>
      <w:proofErr w:type="spellStart"/>
      <w:r>
        <w:t>Address</w:t>
      </w:r>
      <w:proofErr w:type="gramStart"/>
      <w:r>
        <w:t>:_</w:t>
      </w:r>
      <w:proofErr w:type="gramEnd"/>
      <w:r>
        <w:t>_</w:t>
      </w:r>
      <w:r w:rsidR="005F4489">
        <w:rPr>
          <w:u w:val="single"/>
        </w:rPr>
        <w:t>PO</w:t>
      </w:r>
      <w:proofErr w:type="spellEnd"/>
      <w:r w:rsidR="005F4489">
        <w:rPr>
          <w:u w:val="single"/>
        </w:rPr>
        <w:t xml:space="preserve"> Box 129, Mountainair, NM                      </w:t>
      </w:r>
      <w:r>
        <w:t>_____________________________________________________</w:t>
      </w:r>
    </w:p>
    <w:tbl>
      <w:tblPr>
        <w:tblW w:w="10540" w:type="dxa"/>
        <w:jc w:val="center"/>
        <w:tblLook w:val="04A0" w:firstRow="1" w:lastRow="0" w:firstColumn="1" w:lastColumn="0" w:noHBand="0" w:noVBand="1"/>
      </w:tblPr>
      <w:tblGrid>
        <w:gridCol w:w="1938"/>
        <w:gridCol w:w="1697"/>
        <w:gridCol w:w="889"/>
        <w:gridCol w:w="1204"/>
        <w:gridCol w:w="4812"/>
      </w:tblGrid>
      <w:tr w:rsidR="00CD7EB3" w:rsidRPr="00CD7EB3" w:rsidTr="00CD7EB3">
        <w:trPr>
          <w:trHeight w:val="1755"/>
          <w:tblHeader/>
          <w:jc w:val="center"/>
        </w:trPr>
        <w:tc>
          <w:tcPr>
            <w:tcW w:w="197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1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98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5F4489">
              <w:t>Preliminary Draft Forest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5F4489" w:rsidP="005F4489">
            <w:pPr>
              <w:pStyle w:val="NoSpacing"/>
            </w:pPr>
            <w:r>
              <w:t>Summary of Management Situation</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5F4489" w:rsidP="005F4489">
            <w:pPr>
              <w:pStyle w:val="NoSpacing"/>
            </w:pPr>
            <w:r>
              <w:t>11</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5F4489" w:rsidP="005F4489">
            <w:pPr>
              <w:pStyle w:val="NoSpacing"/>
            </w:pPr>
            <w:r>
              <w:t>19</w:t>
            </w:r>
            <w:r w:rsidR="00246045">
              <w:t>-20</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5F4489" w:rsidP="00246045">
            <w:pPr>
              <w:pStyle w:val="NoSpacing"/>
            </w:pPr>
            <w:r>
              <w:t>CPSWCD has not found reference throughout the plan in all resource areas</w:t>
            </w:r>
            <w:r w:rsidR="00246045">
              <w:t xml:space="preserve"> how all resource management should be prioritized given the varying levels of funding</w:t>
            </w:r>
            <w:r>
              <w:t xml:space="preserve">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246045">
              <w:t>Preliminary Draft Forest Plan</w:t>
            </w:r>
          </w:p>
        </w:tc>
        <w:tc>
          <w:tcPr>
            <w:tcW w:w="1710" w:type="dxa"/>
            <w:tcBorders>
              <w:top w:val="nil"/>
              <w:left w:val="nil"/>
              <w:bottom w:val="single" w:sz="4" w:space="0" w:color="auto"/>
              <w:right w:val="single" w:sz="4" w:space="0" w:color="auto"/>
            </w:tcBorders>
            <w:shd w:val="clear" w:color="auto" w:fill="auto"/>
            <w:vAlign w:val="center"/>
            <w:hideMark/>
          </w:tcPr>
          <w:p w:rsidR="00CD7EB3" w:rsidRDefault="00246045" w:rsidP="00246045">
            <w:pPr>
              <w:pStyle w:val="NoSpacing"/>
            </w:pPr>
            <w:r>
              <w:t>Forest-Wide Plan Components and Management Ap</w:t>
            </w:r>
            <w:r w:rsidR="00F0041A">
              <w:t>p</w:t>
            </w:r>
            <w:r>
              <w:t>roaches</w:t>
            </w:r>
          </w:p>
          <w:p w:rsidR="00F0041A" w:rsidRPr="00CD7EB3" w:rsidRDefault="00F0041A" w:rsidP="00246045">
            <w:pPr>
              <w:pStyle w:val="NoSpacing"/>
            </w:pPr>
            <w:r>
              <w:t>Wildland Urban Interface</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246045">
            <w:pPr>
              <w:pStyle w:val="NoSpacing"/>
            </w:pPr>
            <w:r w:rsidRPr="00CD7EB3">
              <w:t> </w:t>
            </w:r>
            <w:r w:rsidR="00F0041A">
              <w:t>21</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9</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Stand changing catastrophic wildfire often shifts the dominant plant community to a mono culture of low shrub. The arid and drought effected areas have shown little tree or grass regeneration thus effecting the upper watershed for soil stabilization and diversity</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0041A">
              <w:t>Preliminary Draft Forest Plan</w:t>
            </w:r>
          </w:p>
        </w:tc>
        <w:tc>
          <w:tcPr>
            <w:tcW w:w="1710" w:type="dxa"/>
            <w:tcBorders>
              <w:top w:val="nil"/>
              <w:left w:val="nil"/>
              <w:bottom w:val="single" w:sz="4" w:space="0" w:color="auto"/>
              <w:right w:val="single" w:sz="4" w:space="0" w:color="auto"/>
            </w:tcBorders>
            <w:shd w:val="clear" w:color="auto" w:fill="auto"/>
            <w:vAlign w:val="center"/>
            <w:hideMark/>
          </w:tcPr>
          <w:p w:rsidR="00CD7EB3" w:rsidRDefault="00CD7EB3" w:rsidP="005F4489">
            <w:pPr>
              <w:pStyle w:val="NoSpacing"/>
            </w:pPr>
            <w:r w:rsidRPr="00CD7EB3">
              <w:t> </w:t>
            </w:r>
            <w:r w:rsidR="00F0041A">
              <w:t>Forest-Wide Plan Components and Management Approaches</w:t>
            </w:r>
          </w:p>
          <w:p w:rsidR="00F0041A" w:rsidRPr="00CD7EB3" w:rsidRDefault="00F0041A" w:rsidP="005F4489">
            <w:pPr>
              <w:pStyle w:val="NoSpacing"/>
            </w:pPr>
            <w:r>
              <w:t>General Management of all Vegetation Types – Management Approaches</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27</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2</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F0041A" w:rsidP="005F4489">
            <w:pPr>
              <w:pStyle w:val="NoSpacing"/>
            </w:pPr>
            <w:r>
              <w:t>Coordinate with local SWCDs (local government) for project management using their Land Use Plans and Community Wildfire Protection Plan</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0041A">
              <w:t>Preliminary Draft Forest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Groundwater – Management Approaches</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57</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33</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F0041A">
              <w:t>“Collaborate with external groups” – this wording approach is expertly written and should be used for all resource management approaches</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0041A">
              <w:t>Preliminary Draft Forest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F0041A" w:rsidP="00940500">
            <w:pPr>
              <w:pStyle w:val="NoSpacing"/>
            </w:pPr>
            <w:r>
              <w:t xml:space="preserve">Non-Native Invasive Species – </w:t>
            </w:r>
            <w:r w:rsidR="00940500">
              <w:t>Management Approach</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940500">
              <w:t>72</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5F4489">
            <w:pPr>
              <w:pStyle w:val="NoSpacing"/>
            </w:pPr>
            <w:r w:rsidRPr="00CD7EB3">
              <w:t> </w:t>
            </w:r>
            <w:r w:rsidR="00940500">
              <w:t>13</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940500" w:rsidP="005F4489">
            <w:pPr>
              <w:pStyle w:val="NoSpacing"/>
            </w:pPr>
            <w:r>
              <w:t>Special Annual</w:t>
            </w:r>
            <w:r w:rsidR="00CD7EB3" w:rsidRPr="00CD7EB3">
              <w:t> </w:t>
            </w:r>
            <w:r w:rsidR="00F0041A">
              <w:t>Monitor</w:t>
            </w:r>
            <w:r>
              <w:t xml:space="preserve">ing </w:t>
            </w:r>
            <w:r w:rsidR="00F0041A">
              <w:t xml:space="preserve"> and work with public to identify present of feral hogs within the forest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940500" w:rsidP="005F4489">
            <w:pPr>
              <w:pStyle w:val="NoSpacing"/>
            </w:pPr>
            <w:r>
              <w:lastRenderedPageBreak/>
              <w:t>Preliminary Draft Forest Plan</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8743FD">
              <w:t>Range and Grazing – Guidelines</w:t>
            </w:r>
          </w:p>
        </w:tc>
        <w:tc>
          <w:tcPr>
            <w:tcW w:w="900" w:type="dxa"/>
            <w:tcBorders>
              <w:top w:val="nil"/>
              <w:left w:val="nil"/>
              <w:bottom w:val="single" w:sz="4" w:space="0" w:color="auto"/>
              <w:right w:val="single" w:sz="4" w:space="0" w:color="auto"/>
            </w:tcBorders>
            <w:shd w:val="clear" w:color="auto" w:fill="auto"/>
            <w:hideMark/>
          </w:tcPr>
          <w:p w:rsidR="00CD7EB3" w:rsidRPr="00CD7EB3" w:rsidRDefault="008743FD" w:rsidP="005F4489">
            <w:pPr>
              <w:pStyle w:val="NoSpacing"/>
            </w:pPr>
            <w:r>
              <w:t>81</w:t>
            </w:r>
          </w:p>
        </w:tc>
        <w:tc>
          <w:tcPr>
            <w:tcW w:w="975" w:type="dxa"/>
            <w:tcBorders>
              <w:top w:val="nil"/>
              <w:left w:val="nil"/>
              <w:bottom w:val="single" w:sz="4" w:space="0" w:color="auto"/>
              <w:right w:val="single" w:sz="4" w:space="0" w:color="auto"/>
            </w:tcBorders>
            <w:shd w:val="clear" w:color="auto" w:fill="auto"/>
            <w:hideMark/>
          </w:tcPr>
          <w:p w:rsidR="00CD7EB3" w:rsidRPr="00CD7EB3" w:rsidRDefault="008743FD" w:rsidP="005F4489">
            <w:pPr>
              <w:pStyle w:val="NoSpacing"/>
            </w:pPr>
            <w:r>
              <w:t>27</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8743FD" w:rsidP="005F4489">
            <w:pPr>
              <w:pStyle w:val="NoSpacing"/>
            </w:pPr>
            <w:r>
              <w:t>In front of the word “Shrub” insert “palatable”</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940500">
              <w:t>Preliminary Draft Forest Plan</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8743FD">
              <w:t>Range and Grazing - Guidelines</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8743FD">
              <w:t>82</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8743FD">
              <w:t>1</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8743FD" w:rsidP="005F4489">
            <w:pPr>
              <w:pStyle w:val="NoSpacing"/>
            </w:pPr>
            <w:r>
              <w:t>Livestock acclamation to a new grazing area may cause a one year calf crop loss to the producer. New areas are high risk due to all the unknown factors including topography. Cattle will not know the country and will tend to stay bunched together.</w:t>
            </w:r>
            <w:r w:rsidR="00F733E2">
              <w:t xml:space="preserve"> Water resources may be very limiting on a vacant allotment. Cattle may bring in new weeds and organisms to a new location. New NEPA may be required to reestablish grazing on certain allotments.</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CD7EB3" w:rsidRPr="00CD7EB3" w:rsidRDefault="00940500" w:rsidP="005F4489">
            <w:pPr>
              <w:pStyle w:val="NoSpacing"/>
            </w:pPr>
            <w:r>
              <w:t>Preliminary Draft Forest Plan</w:t>
            </w:r>
          </w:p>
        </w:tc>
        <w:tc>
          <w:tcPr>
            <w:tcW w:w="1710" w:type="dxa"/>
            <w:tcBorders>
              <w:top w:val="single" w:sz="4" w:space="0" w:color="auto"/>
              <w:left w:val="nil"/>
              <w:bottom w:val="single" w:sz="4" w:space="0" w:color="auto"/>
              <w:right w:val="single" w:sz="4" w:space="0" w:color="auto"/>
            </w:tcBorders>
            <w:shd w:val="clear" w:color="auto" w:fill="auto"/>
          </w:tcPr>
          <w:p w:rsidR="00CD7EB3" w:rsidRPr="00CD7EB3" w:rsidRDefault="00F733E2" w:rsidP="005F4489">
            <w:pPr>
              <w:pStyle w:val="NoSpacing"/>
            </w:pPr>
            <w:r>
              <w:t>Range and Grazing – Management Approaches</w:t>
            </w:r>
          </w:p>
        </w:tc>
        <w:tc>
          <w:tcPr>
            <w:tcW w:w="900" w:type="dxa"/>
            <w:tcBorders>
              <w:top w:val="single" w:sz="4" w:space="0" w:color="auto"/>
              <w:left w:val="nil"/>
              <w:bottom w:val="single" w:sz="4" w:space="0" w:color="auto"/>
              <w:right w:val="single" w:sz="4" w:space="0" w:color="auto"/>
            </w:tcBorders>
            <w:shd w:val="clear" w:color="auto" w:fill="auto"/>
          </w:tcPr>
          <w:p w:rsidR="00CD7EB3" w:rsidRPr="00CD7EB3" w:rsidRDefault="00F733E2" w:rsidP="00F733E2">
            <w:pPr>
              <w:pStyle w:val="NoSpacing"/>
            </w:pPr>
            <w:r>
              <w:t>82</w:t>
            </w:r>
          </w:p>
        </w:tc>
        <w:tc>
          <w:tcPr>
            <w:tcW w:w="975" w:type="dxa"/>
            <w:tcBorders>
              <w:top w:val="single" w:sz="4" w:space="0" w:color="auto"/>
              <w:left w:val="nil"/>
              <w:bottom w:val="single" w:sz="4" w:space="0" w:color="auto"/>
              <w:right w:val="single" w:sz="4" w:space="0" w:color="auto"/>
            </w:tcBorders>
            <w:shd w:val="clear" w:color="auto" w:fill="auto"/>
          </w:tcPr>
          <w:p w:rsidR="00CD7EB3" w:rsidRPr="00CD7EB3" w:rsidRDefault="00CD7EB3" w:rsidP="005F4489">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CD7EB3" w:rsidRPr="00CD7EB3" w:rsidRDefault="00F733E2" w:rsidP="005F4489">
            <w:pPr>
              <w:pStyle w:val="NoSpacing"/>
            </w:pPr>
            <w:r>
              <w:t>Coordinate the planning, development and funding of new range improvement projects with the local SWCDs and NRCS. This may also require the development of a Coordinated Resource Management Plan working with the permittees, forest service resource specialists (multiple use) and the entities listed above.</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940500">
              <w:t>Preliminary Draft Forest Plan</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733E2">
              <w:t>Range and Grazing – Management Approach</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F733E2" w:rsidP="005F4489">
            <w:pPr>
              <w:pStyle w:val="NoSpacing"/>
            </w:pPr>
            <w:r>
              <w:t>83</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F733E2" w:rsidP="005F4489">
            <w:pPr>
              <w:pStyle w:val="NoSpacing"/>
            </w:pPr>
            <w:r>
              <w:t>7</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F733E2" w:rsidP="005F4489">
            <w:pPr>
              <w:pStyle w:val="NoSpacing"/>
            </w:pPr>
            <w:r>
              <w:t>Livestock are not an appropriate control agent for noxious and invasive weeds</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733E2">
              <w:t>Preliminary Draft Forest Plan</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733E2">
              <w:t>Rural and Historic Communities – Background and Description</w:t>
            </w:r>
          </w:p>
        </w:tc>
        <w:tc>
          <w:tcPr>
            <w:tcW w:w="900" w:type="dxa"/>
            <w:tcBorders>
              <w:top w:val="nil"/>
              <w:left w:val="nil"/>
              <w:bottom w:val="single" w:sz="4" w:space="0" w:color="auto"/>
              <w:right w:val="single" w:sz="4" w:space="0" w:color="auto"/>
            </w:tcBorders>
            <w:shd w:val="clear" w:color="auto" w:fill="auto"/>
            <w:hideMark/>
          </w:tcPr>
          <w:p w:rsidR="00CD7EB3" w:rsidRPr="00CD7EB3" w:rsidRDefault="00F733E2" w:rsidP="005F4489">
            <w:pPr>
              <w:pStyle w:val="NoSpacing"/>
            </w:pPr>
            <w:r>
              <w:t>89</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CA49AC">
              <w:t>30</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F733E2" w:rsidP="00CA49AC">
            <w:pPr>
              <w:pStyle w:val="NoSpacing"/>
            </w:pPr>
            <w:r>
              <w:t xml:space="preserve">Preceding Rural Communities </w:t>
            </w:r>
            <w:r w:rsidR="00CA49AC">
              <w:t>European descent individuals settled lands for ranching, mining and farming and their families became the communities across rural New Mexico.</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733E2">
              <w:t>Preliminary Draft Forest Plan</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CA49AC">
              <w:t>Rural and Historic Communities – Management Approaches</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A49AC" w:rsidP="005F4489">
            <w:pPr>
              <w:pStyle w:val="NoSpacing"/>
            </w:pPr>
            <w:r>
              <w:t>90</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CA49AC">
              <w:t>10</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A49AC" w:rsidP="005F4489">
            <w:pPr>
              <w:pStyle w:val="NoSpacing"/>
            </w:pPr>
            <w:r>
              <w:t>Coordinate Land use restoration and sustainable land use with local SWCDs who are authorized under State Statute to work across the landscape with the historical communities and the Forest Service.</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F733E2">
              <w:t>Preliminary Draft Forest Plan</w:t>
            </w:r>
          </w:p>
        </w:tc>
        <w:tc>
          <w:tcPr>
            <w:tcW w:w="1710" w:type="dxa"/>
            <w:tcBorders>
              <w:top w:val="nil"/>
              <w:left w:val="nil"/>
              <w:bottom w:val="single" w:sz="4" w:space="0" w:color="auto"/>
              <w:right w:val="single" w:sz="4" w:space="0" w:color="auto"/>
            </w:tcBorders>
            <w:shd w:val="clear" w:color="auto" w:fill="auto"/>
            <w:hideMark/>
          </w:tcPr>
          <w:p w:rsidR="00CD7EB3" w:rsidRDefault="00CD7EB3" w:rsidP="005F4489">
            <w:pPr>
              <w:pStyle w:val="NoSpacing"/>
            </w:pPr>
            <w:r w:rsidRPr="00CD7EB3">
              <w:t> </w:t>
            </w:r>
            <w:r w:rsidR="00CA49AC">
              <w:t xml:space="preserve">Land Ownership Adjustment and Boundary Management - </w:t>
            </w:r>
          </w:p>
          <w:p w:rsidR="00CA49AC" w:rsidRPr="00CD7EB3" w:rsidRDefault="00CA49AC" w:rsidP="005F4489">
            <w:pPr>
              <w:pStyle w:val="NoSpacing"/>
            </w:pPr>
            <w:r>
              <w:t>Management Approaches</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A49AC">
            <w:pPr>
              <w:pStyle w:val="NoSpacing"/>
            </w:pPr>
            <w:r w:rsidRPr="00CD7EB3">
              <w:t> </w:t>
            </w:r>
            <w:r w:rsidR="00CA49AC">
              <w:t>95</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CA49AC">
              <w:t>13?</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2A3328" w:rsidP="002A3328">
            <w:pPr>
              <w:pStyle w:val="NoSpacing"/>
            </w:pPr>
            <w:r>
              <w:t>The 300+ acre</w:t>
            </w:r>
            <w:r w:rsidR="00CD7EB3" w:rsidRPr="00CD7EB3">
              <w:t> </w:t>
            </w:r>
            <w:r>
              <w:t>p</w:t>
            </w:r>
            <w:r w:rsidR="00CA49AC">
              <w:t>rivate land inholding within the Manzano Wilderness that does not have legal road access</w:t>
            </w:r>
            <w:r>
              <w:t>. This private land ownership predates Forest Service and is the perennial water source for the proposed Tajique Creek W&amp;SR.</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lastRenderedPageBreak/>
              <w:t> </w:t>
            </w:r>
            <w:r w:rsidR="002A3328">
              <w:t>Preliminary Draft Forest Plan</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2A3328">
              <w:t>Recreation – Management Approaches</w:t>
            </w:r>
          </w:p>
        </w:tc>
        <w:tc>
          <w:tcPr>
            <w:tcW w:w="900" w:type="dxa"/>
            <w:tcBorders>
              <w:top w:val="nil"/>
              <w:left w:val="nil"/>
              <w:bottom w:val="single" w:sz="4" w:space="0" w:color="auto"/>
              <w:right w:val="single" w:sz="4" w:space="0" w:color="auto"/>
            </w:tcBorders>
            <w:shd w:val="clear" w:color="auto" w:fill="auto"/>
            <w:hideMark/>
          </w:tcPr>
          <w:p w:rsidR="00CD7EB3" w:rsidRPr="00CD7EB3" w:rsidRDefault="002A3328" w:rsidP="005F4489">
            <w:pPr>
              <w:pStyle w:val="NoSpacing"/>
            </w:pPr>
            <w:r>
              <w:t>108</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2A3328">
              <w:t>37</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2A3328">
            <w:pPr>
              <w:pStyle w:val="NoSpacing"/>
            </w:pPr>
            <w:r w:rsidRPr="00CD7EB3">
              <w:t> </w:t>
            </w:r>
            <w:r w:rsidR="002A3328">
              <w:t xml:space="preserve">Post more discrete </w:t>
            </w:r>
            <w:r w:rsidR="00383303">
              <w:t xml:space="preserve">(small) </w:t>
            </w:r>
            <w:r w:rsidR="002A3328">
              <w:t xml:space="preserve">signs for roads, boundary and legal public access to forest areas.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383303">
              <w:t>Preliminary Draft Forest Plan</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383303">
              <w:t>Management Areas and Designated Areas</w:t>
            </w:r>
          </w:p>
        </w:tc>
        <w:tc>
          <w:tcPr>
            <w:tcW w:w="900" w:type="dxa"/>
            <w:tcBorders>
              <w:top w:val="nil"/>
              <w:left w:val="nil"/>
              <w:bottom w:val="single" w:sz="4" w:space="0" w:color="auto"/>
              <w:right w:val="single" w:sz="4" w:space="0" w:color="auto"/>
            </w:tcBorders>
            <w:shd w:val="clear" w:color="auto" w:fill="auto"/>
            <w:hideMark/>
          </w:tcPr>
          <w:p w:rsidR="00CD7EB3" w:rsidRPr="00CD7EB3" w:rsidRDefault="00383303" w:rsidP="005F4489">
            <w:pPr>
              <w:pStyle w:val="NoSpacing"/>
            </w:pPr>
            <w:r>
              <w:t>127</w:t>
            </w:r>
          </w:p>
        </w:tc>
        <w:tc>
          <w:tcPr>
            <w:tcW w:w="975" w:type="dxa"/>
            <w:tcBorders>
              <w:top w:val="nil"/>
              <w:left w:val="nil"/>
              <w:bottom w:val="single" w:sz="4" w:space="0" w:color="auto"/>
              <w:right w:val="single" w:sz="4" w:space="0" w:color="auto"/>
            </w:tcBorders>
            <w:shd w:val="clear" w:color="auto" w:fill="auto"/>
            <w:hideMark/>
          </w:tcPr>
          <w:p w:rsidR="00CD7EB3" w:rsidRPr="00CD7EB3" w:rsidRDefault="00383303" w:rsidP="005F4489">
            <w:pPr>
              <w:pStyle w:val="NoSpacing"/>
            </w:pPr>
            <w:r>
              <w:t>23</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383303">
            <w:pPr>
              <w:pStyle w:val="NoSpacing"/>
            </w:pPr>
            <w:r w:rsidRPr="00CD7EB3">
              <w:t> </w:t>
            </w:r>
            <w:r w:rsidR="00383303">
              <w:t>Proposing “</w:t>
            </w:r>
            <w:proofErr w:type="spellStart"/>
            <w:r w:rsidR="00383303">
              <w:t>cienega</w:t>
            </w:r>
            <w:proofErr w:type="spellEnd"/>
            <w:r w:rsidR="00383303">
              <w:t xml:space="preserve">” in the Manzano mountains on the </w:t>
            </w:r>
            <w:proofErr w:type="spellStart"/>
            <w:r w:rsidR="00383303">
              <w:t>Barranca</w:t>
            </w:r>
            <w:proofErr w:type="spellEnd"/>
            <w:r w:rsidR="00383303">
              <w:t xml:space="preserve"> Allotment for special management consideration.</w:t>
            </w:r>
          </w:p>
        </w:tc>
      </w:tr>
      <w:tr w:rsidR="00383303" w:rsidRPr="00CD7EB3" w:rsidTr="008E4C5B">
        <w:trPr>
          <w:trHeight w:val="467"/>
          <w:jc w:val="center"/>
        </w:trPr>
        <w:tc>
          <w:tcPr>
            <w:tcW w:w="1975" w:type="dxa"/>
            <w:tcBorders>
              <w:top w:val="nil"/>
              <w:left w:val="single" w:sz="4" w:space="0" w:color="auto"/>
              <w:bottom w:val="single" w:sz="4" w:space="0" w:color="auto"/>
              <w:right w:val="single" w:sz="4" w:space="0" w:color="auto"/>
            </w:tcBorders>
            <w:shd w:val="clear" w:color="auto" w:fill="auto"/>
          </w:tcPr>
          <w:p w:rsidR="00383303" w:rsidRPr="00CD7EB3" w:rsidRDefault="000E7C78" w:rsidP="005F4489">
            <w:pPr>
              <w:pStyle w:val="NoSpacing"/>
            </w:pPr>
            <w:r>
              <w:t>Preliminary Draft Forest Plan</w:t>
            </w:r>
          </w:p>
        </w:tc>
        <w:tc>
          <w:tcPr>
            <w:tcW w:w="1710" w:type="dxa"/>
            <w:tcBorders>
              <w:top w:val="nil"/>
              <w:left w:val="nil"/>
              <w:bottom w:val="single" w:sz="4" w:space="0" w:color="auto"/>
              <w:right w:val="single" w:sz="4" w:space="0" w:color="auto"/>
            </w:tcBorders>
            <w:shd w:val="clear" w:color="auto" w:fill="auto"/>
          </w:tcPr>
          <w:p w:rsidR="00383303" w:rsidRPr="00CD7EB3" w:rsidRDefault="00877684" w:rsidP="005F4489">
            <w:pPr>
              <w:pStyle w:val="NoSpacing"/>
            </w:pPr>
            <w:r>
              <w:t>Eligible Wild and Scenic Rivers</w:t>
            </w:r>
          </w:p>
        </w:tc>
        <w:tc>
          <w:tcPr>
            <w:tcW w:w="900" w:type="dxa"/>
            <w:tcBorders>
              <w:top w:val="nil"/>
              <w:left w:val="nil"/>
              <w:bottom w:val="single" w:sz="4" w:space="0" w:color="auto"/>
              <w:right w:val="single" w:sz="4" w:space="0" w:color="auto"/>
            </w:tcBorders>
            <w:shd w:val="clear" w:color="auto" w:fill="auto"/>
          </w:tcPr>
          <w:p w:rsidR="00383303" w:rsidRPr="00CD7EB3" w:rsidRDefault="00877684" w:rsidP="00877684">
            <w:pPr>
              <w:pStyle w:val="NoSpacing"/>
            </w:pPr>
            <w:r>
              <w:t>136</w:t>
            </w:r>
          </w:p>
        </w:tc>
        <w:tc>
          <w:tcPr>
            <w:tcW w:w="975" w:type="dxa"/>
            <w:tcBorders>
              <w:top w:val="nil"/>
              <w:left w:val="nil"/>
              <w:bottom w:val="single" w:sz="4" w:space="0" w:color="auto"/>
              <w:right w:val="single" w:sz="4" w:space="0" w:color="auto"/>
            </w:tcBorders>
            <w:shd w:val="clear" w:color="auto" w:fill="auto"/>
          </w:tcPr>
          <w:p w:rsidR="00383303" w:rsidRPr="00CD7EB3" w:rsidRDefault="00877684" w:rsidP="005F4489">
            <w:pPr>
              <w:pStyle w:val="NoSpacing"/>
            </w:pPr>
            <w:r>
              <w:t>5</w:t>
            </w:r>
          </w:p>
        </w:tc>
        <w:tc>
          <w:tcPr>
            <w:tcW w:w="4980" w:type="dxa"/>
            <w:tcBorders>
              <w:top w:val="nil"/>
              <w:left w:val="nil"/>
              <w:bottom w:val="single" w:sz="4" w:space="0" w:color="auto"/>
              <w:right w:val="single" w:sz="4" w:space="0" w:color="auto"/>
            </w:tcBorders>
            <w:shd w:val="clear" w:color="auto" w:fill="auto"/>
          </w:tcPr>
          <w:p w:rsidR="00383303" w:rsidRPr="00CD7EB3" w:rsidRDefault="00877684" w:rsidP="00877684">
            <w:pPr>
              <w:pStyle w:val="NoSpacing"/>
            </w:pPr>
            <w:r>
              <w:t>How will this affect the private land and water rights that control the source of this water?</w:t>
            </w:r>
          </w:p>
        </w:tc>
      </w:tr>
      <w:tr w:rsidR="00383303" w:rsidRPr="00CD7EB3" w:rsidTr="008E4C5B">
        <w:trPr>
          <w:trHeight w:val="467"/>
          <w:jc w:val="center"/>
        </w:trPr>
        <w:tc>
          <w:tcPr>
            <w:tcW w:w="1975" w:type="dxa"/>
            <w:tcBorders>
              <w:top w:val="nil"/>
              <w:left w:val="single" w:sz="4" w:space="0" w:color="auto"/>
              <w:bottom w:val="single" w:sz="4" w:space="0" w:color="auto"/>
              <w:right w:val="single" w:sz="4" w:space="0" w:color="auto"/>
            </w:tcBorders>
            <w:shd w:val="clear" w:color="auto" w:fill="auto"/>
          </w:tcPr>
          <w:p w:rsidR="00383303" w:rsidRPr="00CD7EB3" w:rsidRDefault="000E7C78" w:rsidP="005F4489">
            <w:pPr>
              <w:pStyle w:val="NoSpacing"/>
            </w:pPr>
            <w:r>
              <w:t>Preliminary Draft Forest Plan</w:t>
            </w:r>
          </w:p>
        </w:tc>
        <w:tc>
          <w:tcPr>
            <w:tcW w:w="1710" w:type="dxa"/>
            <w:tcBorders>
              <w:top w:val="nil"/>
              <w:left w:val="nil"/>
              <w:bottom w:val="single" w:sz="4" w:space="0" w:color="auto"/>
              <w:right w:val="single" w:sz="4" w:space="0" w:color="auto"/>
            </w:tcBorders>
            <w:shd w:val="clear" w:color="auto" w:fill="auto"/>
          </w:tcPr>
          <w:p w:rsidR="00383303" w:rsidRDefault="00877684" w:rsidP="005F4489">
            <w:pPr>
              <w:pStyle w:val="NoSpacing"/>
            </w:pPr>
            <w:r>
              <w:t>Alternative “B”</w:t>
            </w:r>
          </w:p>
          <w:p w:rsidR="00877684" w:rsidRPr="00CD7EB3" w:rsidRDefault="00877684" w:rsidP="005F4489">
            <w:pPr>
              <w:pStyle w:val="NoSpacing"/>
            </w:pPr>
            <w:r>
              <w:t>Mountainair Ranger District</w:t>
            </w:r>
          </w:p>
        </w:tc>
        <w:tc>
          <w:tcPr>
            <w:tcW w:w="900" w:type="dxa"/>
            <w:tcBorders>
              <w:top w:val="nil"/>
              <w:left w:val="nil"/>
              <w:bottom w:val="single" w:sz="4" w:space="0" w:color="auto"/>
              <w:right w:val="single" w:sz="4" w:space="0" w:color="auto"/>
            </w:tcBorders>
            <w:shd w:val="clear" w:color="auto" w:fill="auto"/>
          </w:tcPr>
          <w:p w:rsidR="00383303" w:rsidRPr="00CD7EB3" w:rsidRDefault="00877684" w:rsidP="00877684">
            <w:pPr>
              <w:pStyle w:val="NoSpacing"/>
            </w:pPr>
            <w:r>
              <w:t>179</w:t>
            </w:r>
          </w:p>
        </w:tc>
        <w:tc>
          <w:tcPr>
            <w:tcW w:w="975" w:type="dxa"/>
            <w:tcBorders>
              <w:top w:val="nil"/>
              <w:left w:val="nil"/>
              <w:bottom w:val="single" w:sz="4" w:space="0" w:color="auto"/>
              <w:right w:val="single" w:sz="4" w:space="0" w:color="auto"/>
            </w:tcBorders>
            <w:shd w:val="clear" w:color="auto" w:fill="auto"/>
          </w:tcPr>
          <w:p w:rsidR="00383303" w:rsidRPr="00CD7EB3" w:rsidRDefault="00877684" w:rsidP="005F4489">
            <w:pPr>
              <w:pStyle w:val="NoSpacing"/>
            </w:pPr>
            <w:r>
              <w:t>16</w:t>
            </w:r>
          </w:p>
        </w:tc>
        <w:tc>
          <w:tcPr>
            <w:tcW w:w="4980" w:type="dxa"/>
            <w:tcBorders>
              <w:top w:val="nil"/>
              <w:left w:val="nil"/>
              <w:bottom w:val="single" w:sz="4" w:space="0" w:color="auto"/>
              <w:right w:val="single" w:sz="4" w:space="0" w:color="auto"/>
            </w:tcBorders>
            <w:shd w:val="clear" w:color="auto" w:fill="auto"/>
          </w:tcPr>
          <w:p w:rsidR="00383303" w:rsidRPr="00CD7EB3" w:rsidRDefault="00877684" w:rsidP="00877684">
            <w:pPr>
              <w:pStyle w:val="NoSpacing"/>
            </w:pPr>
            <w:r>
              <w:t>CPSWCD agrees this is a unique scenic, botanical, recreational area within the Manzano mountains. CPSWCD would support 4</w:t>
            </w:r>
            <w:r w:rsidRPr="00877684">
              <w:rPr>
                <w:vertAlign w:val="superscript"/>
              </w:rPr>
              <w:t>th</w:t>
            </w:r>
            <w:r>
              <w:t xml:space="preserve"> of July Canyon as a special management area, but there has to be consideration of the socio-economic impact on the private landowner’s inholding within the Manzano Wilderness.</w:t>
            </w:r>
          </w:p>
        </w:tc>
      </w:tr>
      <w:tr w:rsidR="00383303" w:rsidRPr="00CD7EB3" w:rsidTr="008E4C5B">
        <w:trPr>
          <w:trHeight w:val="467"/>
          <w:jc w:val="center"/>
        </w:trPr>
        <w:tc>
          <w:tcPr>
            <w:tcW w:w="1975" w:type="dxa"/>
            <w:tcBorders>
              <w:top w:val="nil"/>
              <w:left w:val="single" w:sz="4" w:space="0" w:color="auto"/>
              <w:bottom w:val="single" w:sz="4" w:space="0" w:color="auto"/>
              <w:right w:val="single" w:sz="4" w:space="0" w:color="auto"/>
            </w:tcBorders>
            <w:shd w:val="clear" w:color="auto" w:fill="auto"/>
          </w:tcPr>
          <w:p w:rsidR="00383303" w:rsidRPr="00CD7EB3" w:rsidRDefault="000E7C78" w:rsidP="005F4489">
            <w:pPr>
              <w:pStyle w:val="NoSpacing"/>
            </w:pPr>
            <w:r>
              <w:t>Preliminary Draft Forest Plan</w:t>
            </w:r>
          </w:p>
        </w:tc>
        <w:tc>
          <w:tcPr>
            <w:tcW w:w="1710" w:type="dxa"/>
            <w:tcBorders>
              <w:top w:val="nil"/>
              <w:left w:val="nil"/>
              <w:bottom w:val="single" w:sz="4" w:space="0" w:color="auto"/>
              <w:right w:val="single" w:sz="4" w:space="0" w:color="auto"/>
            </w:tcBorders>
            <w:shd w:val="clear" w:color="auto" w:fill="auto"/>
          </w:tcPr>
          <w:p w:rsidR="00383303" w:rsidRPr="00CD7EB3" w:rsidRDefault="00877684" w:rsidP="005F4489">
            <w:pPr>
              <w:pStyle w:val="NoSpacing"/>
            </w:pPr>
            <w:r>
              <w:t>Alternative “B” Mountainair Ranger District</w:t>
            </w:r>
          </w:p>
        </w:tc>
        <w:tc>
          <w:tcPr>
            <w:tcW w:w="900" w:type="dxa"/>
            <w:tcBorders>
              <w:top w:val="nil"/>
              <w:left w:val="nil"/>
              <w:bottom w:val="single" w:sz="4" w:space="0" w:color="auto"/>
              <w:right w:val="single" w:sz="4" w:space="0" w:color="auto"/>
            </w:tcBorders>
            <w:shd w:val="clear" w:color="auto" w:fill="auto"/>
          </w:tcPr>
          <w:p w:rsidR="00383303" w:rsidRPr="00CD7EB3" w:rsidRDefault="00877684" w:rsidP="005F4489">
            <w:pPr>
              <w:pStyle w:val="NoSpacing"/>
            </w:pPr>
            <w:r>
              <w:t>179</w:t>
            </w:r>
          </w:p>
        </w:tc>
        <w:tc>
          <w:tcPr>
            <w:tcW w:w="975" w:type="dxa"/>
            <w:tcBorders>
              <w:top w:val="nil"/>
              <w:left w:val="nil"/>
              <w:bottom w:val="single" w:sz="4" w:space="0" w:color="auto"/>
              <w:right w:val="single" w:sz="4" w:space="0" w:color="auto"/>
            </w:tcBorders>
            <w:shd w:val="clear" w:color="auto" w:fill="auto"/>
          </w:tcPr>
          <w:p w:rsidR="00383303" w:rsidRPr="00CD7EB3" w:rsidRDefault="00877684" w:rsidP="005F4489">
            <w:pPr>
              <w:pStyle w:val="NoSpacing"/>
            </w:pPr>
            <w:r>
              <w:t>32</w:t>
            </w:r>
          </w:p>
        </w:tc>
        <w:tc>
          <w:tcPr>
            <w:tcW w:w="4980" w:type="dxa"/>
            <w:tcBorders>
              <w:top w:val="nil"/>
              <w:left w:val="nil"/>
              <w:bottom w:val="single" w:sz="4" w:space="0" w:color="auto"/>
              <w:right w:val="single" w:sz="4" w:space="0" w:color="auto"/>
            </w:tcBorders>
            <w:shd w:val="clear" w:color="auto" w:fill="auto"/>
          </w:tcPr>
          <w:p w:rsidR="00383303" w:rsidRPr="00CD7EB3" w:rsidRDefault="00877684" w:rsidP="00571C7D">
            <w:pPr>
              <w:pStyle w:val="NoSpacing"/>
            </w:pPr>
            <w:r>
              <w:t>Gross Kelly is a closed 15,000 acre allotment closed by EA with 11,000 acres containing 30-40% rocky slopes that are not be suitable for grazing cattle. There is no reliable perennial water to support livestock grazing</w:t>
            </w:r>
            <w:r w:rsidR="00571C7D">
              <w:t xml:space="preserve"> and the area contains many rocky steep arroyos. </w:t>
            </w:r>
          </w:p>
        </w:tc>
      </w:tr>
      <w:tr w:rsidR="00383303" w:rsidRPr="00CD7EB3" w:rsidTr="008E4C5B">
        <w:trPr>
          <w:trHeight w:val="467"/>
          <w:jc w:val="center"/>
        </w:trPr>
        <w:tc>
          <w:tcPr>
            <w:tcW w:w="1975" w:type="dxa"/>
            <w:tcBorders>
              <w:top w:val="nil"/>
              <w:left w:val="single" w:sz="4" w:space="0" w:color="auto"/>
              <w:bottom w:val="single" w:sz="4" w:space="0" w:color="auto"/>
              <w:right w:val="single" w:sz="4" w:space="0" w:color="auto"/>
            </w:tcBorders>
            <w:shd w:val="clear" w:color="auto" w:fill="auto"/>
          </w:tcPr>
          <w:p w:rsidR="00383303" w:rsidRPr="00CD7EB3" w:rsidRDefault="000E7C78" w:rsidP="005F4489">
            <w:pPr>
              <w:pStyle w:val="NoSpacing"/>
            </w:pPr>
            <w:r>
              <w:t>Preliminary Draft Forest Plan</w:t>
            </w:r>
          </w:p>
        </w:tc>
        <w:tc>
          <w:tcPr>
            <w:tcW w:w="1710" w:type="dxa"/>
            <w:tcBorders>
              <w:top w:val="nil"/>
              <w:left w:val="nil"/>
              <w:bottom w:val="single" w:sz="4" w:space="0" w:color="auto"/>
              <w:right w:val="single" w:sz="4" w:space="0" w:color="auto"/>
            </w:tcBorders>
            <w:shd w:val="clear" w:color="auto" w:fill="auto"/>
          </w:tcPr>
          <w:p w:rsidR="00383303" w:rsidRPr="00CD7EB3" w:rsidRDefault="00CD6586" w:rsidP="005F4489">
            <w:pPr>
              <w:pStyle w:val="NoSpacing"/>
            </w:pPr>
            <w:r>
              <w:t>Alternative “B” Mountainair Ranger District</w:t>
            </w:r>
          </w:p>
        </w:tc>
        <w:tc>
          <w:tcPr>
            <w:tcW w:w="900" w:type="dxa"/>
            <w:tcBorders>
              <w:top w:val="nil"/>
              <w:left w:val="nil"/>
              <w:bottom w:val="single" w:sz="4" w:space="0" w:color="auto"/>
              <w:right w:val="single" w:sz="4" w:space="0" w:color="auto"/>
            </w:tcBorders>
            <w:shd w:val="clear" w:color="auto" w:fill="auto"/>
          </w:tcPr>
          <w:p w:rsidR="00383303" w:rsidRPr="00CD7EB3" w:rsidRDefault="00383303" w:rsidP="005F4489">
            <w:pPr>
              <w:pStyle w:val="NoSpacing"/>
            </w:pPr>
          </w:p>
        </w:tc>
        <w:tc>
          <w:tcPr>
            <w:tcW w:w="975" w:type="dxa"/>
            <w:tcBorders>
              <w:top w:val="nil"/>
              <w:left w:val="nil"/>
              <w:bottom w:val="single" w:sz="4" w:space="0" w:color="auto"/>
              <w:right w:val="single" w:sz="4" w:space="0" w:color="auto"/>
            </w:tcBorders>
            <w:shd w:val="clear" w:color="auto" w:fill="auto"/>
          </w:tcPr>
          <w:p w:rsidR="00383303" w:rsidRPr="00CD7EB3" w:rsidRDefault="00383303" w:rsidP="005F4489">
            <w:pPr>
              <w:pStyle w:val="NoSpacing"/>
            </w:pPr>
          </w:p>
        </w:tc>
        <w:tc>
          <w:tcPr>
            <w:tcW w:w="4980" w:type="dxa"/>
            <w:tcBorders>
              <w:top w:val="nil"/>
              <w:left w:val="nil"/>
              <w:bottom w:val="single" w:sz="4" w:space="0" w:color="auto"/>
              <w:right w:val="single" w:sz="4" w:space="0" w:color="auto"/>
            </w:tcBorders>
            <w:shd w:val="clear" w:color="auto" w:fill="auto"/>
          </w:tcPr>
          <w:p w:rsidR="00383303" w:rsidRPr="00CD7EB3" w:rsidRDefault="00CD6586" w:rsidP="009F407F">
            <w:pPr>
              <w:pStyle w:val="NoSpacing"/>
            </w:pPr>
            <w:r>
              <w:t xml:space="preserve">The portion of the Gross Kelly allotment that is 30-40% rocky slopes </w:t>
            </w:r>
            <w:r w:rsidR="009F407F">
              <w:t>is suitable for</w:t>
            </w:r>
            <w:r>
              <w:t xml:space="preserve"> Big Horn Sheep habitat. Big Horn Sheep have been </w:t>
            </w:r>
            <w:r w:rsidR="009F407F">
              <w:t>observed</w:t>
            </w:r>
            <w:r>
              <w:t xml:space="preserve"> in this area</w:t>
            </w:r>
            <w:r w:rsidR="009F407F">
              <w:t xml:space="preserve">, which is part of the </w:t>
            </w:r>
            <w:proofErr w:type="spellStart"/>
            <w:r w:rsidR="009F407F">
              <w:t>Ojo</w:t>
            </w:r>
            <w:proofErr w:type="spellEnd"/>
            <w:r w:rsidR="009F407F">
              <w:t xml:space="preserve"> Peak Fire burn scar.</w:t>
            </w:r>
          </w:p>
        </w:tc>
      </w:tr>
      <w:tr w:rsidR="00383303" w:rsidRPr="00CD7EB3" w:rsidTr="008E4C5B">
        <w:trPr>
          <w:trHeight w:val="467"/>
          <w:jc w:val="center"/>
        </w:trPr>
        <w:tc>
          <w:tcPr>
            <w:tcW w:w="1975" w:type="dxa"/>
            <w:tcBorders>
              <w:top w:val="nil"/>
              <w:left w:val="single" w:sz="4" w:space="0" w:color="auto"/>
              <w:bottom w:val="single" w:sz="4" w:space="0" w:color="auto"/>
              <w:right w:val="single" w:sz="4" w:space="0" w:color="auto"/>
            </w:tcBorders>
            <w:shd w:val="clear" w:color="auto" w:fill="auto"/>
          </w:tcPr>
          <w:p w:rsidR="00383303" w:rsidRPr="00CD7EB3" w:rsidRDefault="000E7C78" w:rsidP="005F4489">
            <w:pPr>
              <w:pStyle w:val="NoSpacing"/>
            </w:pPr>
            <w:r>
              <w:t>Preliminary Draft Forest Plan</w:t>
            </w:r>
          </w:p>
        </w:tc>
        <w:tc>
          <w:tcPr>
            <w:tcW w:w="1710" w:type="dxa"/>
            <w:tcBorders>
              <w:top w:val="nil"/>
              <w:left w:val="nil"/>
              <w:bottom w:val="single" w:sz="4" w:space="0" w:color="auto"/>
              <w:right w:val="single" w:sz="4" w:space="0" w:color="auto"/>
            </w:tcBorders>
            <w:shd w:val="clear" w:color="auto" w:fill="auto"/>
          </w:tcPr>
          <w:p w:rsidR="00383303" w:rsidRPr="00CD7EB3" w:rsidRDefault="009F407F" w:rsidP="005F4489">
            <w:pPr>
              <w:pStyle w:val="NoSpacing"/>
            </w:pPr>
            <w:r>
              <w:t>Alternative “B” Mountainair Ranger District</w:t>
            </w:r>
          </w:p>
        </w:tc>
        <w:tc>
          <w:tcPr>
            <w:tcW w:w="900" w:type="dxa"/>
            <w:tcBorders>
              <w:top w:val="nil"/>
              <w:left w:val="nil"/>
              <w:bottom w:val="single" w:sz="4" w:space="0" w:color="auto"/>
              <w:right w:val="single" w:sz="4" w:space="0" w:color="auto"/>
            </w:tcBorders>
            <w:shd w:val="clear" w:color="auto" w:fill="auto"/>
          </w:tcPr>
          <w:p w:rsidR="00383303" w:rsidRPr="00CD7EB3" w:rsidRDefault="00CD6586" w:rsidP="005F4489">
            <w:pPr>
              <w:pStyle w:val="NoSpacing"/>
            </w:pPr>
            <w:r>
              <w:t>181</w:t>
            </w:r>
          </w:p>
        </w:tc>
        <w:tc>
          <w:tcPr>
            <w:tcW w:w="975" w:type="dxa"/>
            <w:tcBorders>
              <w:top w:val="nil"/>
              <w:left w:val="nil"/>
              <w:bottom w:val="single" w:sz="4" w:space="0" w:color="auto"/>
              <w:right w:val="single" w:sz="4" w:space="0" w:color="auto"/>
            </w:tcBorders>
            <w:shd w:val="clear" w:color="auto" w:fill="auto"/>
          </w:tcPr>
          <w:p w:rsidR="00383303" w:rsidRDefault="009F407F" w:rsidP="005F4489">
            <w:pPr>
              <w:pStyle w:val="NoSpacing"/>
            </w:pPr>
            <w:r>
              <w:t>D4 ADJ7</w:t>
            </w:r>
          </w:p>
          <w:p w:rsidR="009F407F" w:rsidRPr="00CD7EB3" w:rsidRDefault="009F407F" w:rsidP="005F4489">
            <w:pPr>
              <w:pStyle w:val="NoSpacing"/>
            </w:pPr>
            <w:r>
              <w:t>D4 ADJ8</w:t>
            </w:r>
          </w:p>
        </w:tc>
        <w:tc>
          <w:tcPr>
            <w:tcW w:w="4980" w:type="dxa"/>
            <w:tcBorders>
              <w:top w:val="nil"/>
              <w:left w:val="nil"/>
              <w:bottom w:val="single" w:sz="4" w:space="0" w:color="auto"/>
              <w:right w:val="single" w:sz="4" w:space="0" w:color="auto"/>
            </w:tcBorders>
            <w:shd w:val="clear" w:color="auto" w:fill="auto"/>
          </w:tcPr>
          <w:p w:rsidR="00383303" w:rsidRPr="00CD7EB3" w:rsidRDefault="009F407F" w:rsidP="009F407F">
            <w:pPr>
              <w:pStyle w:val="NoSpacing"/>
            </w:pPr>
            <w:r>
              <w:t>These areas are important public parking areas and provide an important buffer to the existing wilderness.</w:t>
            </w:r>
          </w:p>
        </w:tc>
      </w:tr>
      <w:tr w:rsidR="00383303" w:rsidRPr="00CD7EB3" w:rsidTr="004A5A80">
        <w:trPr>
          <w:trHeight w:val="467"/>
          <w:jc w:val="center"/>
        </w:trPr>
        <w:tc>
          <w:tcPr>
            <w:tcW w:w="1975" w:type="dxa"/>
            <w:tcBorders>
              <w:top w:val="nil"/>
              <w:left w:val="single" w:sz="4" w:space="0" w:color="auto"/>
              <w:bottom w:val="single" w:sz="4" w:space="0" w:color="auto"/>
              <w:right w:val="single" w:sz="4" w:space="0" w:color="auto"/>
            </w:tcBorders>
            <w:shd w:val="clear" w:color="auto" w:fill="auto"/>
          </w:tcPr>
          <w:p w:rsidR="00383303" w:rsidRPr="00CD7EB3" w:rsidRDefault="000E7C78" w:rsidP="005F4489">
            <w:pPr>
              <w:pStyle w:val="NoSpacing"/>
            </w:pPr>
            <w:r>
              <w:t>Preliminary Draft Forest Plan</w:t>
            </w:r>
          </w:p>
        </w:tc>
        <w:tc>
          <w:tcPr>
            <w:tcW w:w="1710" w:type="dxa"/>
            <w:tcBorders>
              <w:top w:val="nil"/>
              <w:left w:val="nil"/>
              <w:bottom w:val="single" w:sz="4" w:space="0" w:color="auto"/>
              <w:right w:val="single" w:sz="4" w:space="0" w:color="auto"/>
            </w:tcBorders>
            <w:shd w:val="clear" w:color="auto" w:fill="auto"/>
          </w:tcPr>
          <w:p w:rsidR="00383303" w:rsidRPr="00CD7EB3" w:rsidRDefault="009F407F" w:rsidP="005F4489">
            <w:pPr>
              <w:pStyle w:val="NoSpacing"/>
            </w:pPr>
            <w:r>
              <w:t>Alternative “D” Mountainair Ranger District</w:t>
            </w:r>
          </w:p>
        </w:tc>
        <w:tc>
          <w:tcPr>
            <w:tcW w:w="900" w:type="dxa"/>
            <w:tcBorders>
              <w:top w:val="nil"/>
              <w:left w:val="nil"/>
              <w:bottom w:val="single" w:sz="4" w:space="0" w:color="auto"/>
              <w:right w:val="single" w:sz="4" w:space="0" w:color="auto"/>
            </w:tcBorders>
            <w:shd w:val="clear" w:color="auto" w:fill="auto"/>
          </w:tcPr>
          <w:p w:rsidR="00383303" w:rsidRPr="00CD7EB3" w:rsidRDefault="009F407F" w:rsidP="005F4489">
            <w:pPr>
              <w:pStyle w:val="NoSpacing"/>
            </w:pPr>
            <w:r>
              <w:t>183</w:t>
            </w:r>
          </w:p>
        </w:tc>
        <w:tc>
          <w:tcPr>
            <w:tcW w:w="975" w:type="dxa"/>
            <w:tcBorders>
              <w:top w:val="nil"/>
              <w:left w:val="nil"/>
              <w:bottom w:val="single" w:sz="4" w:space="0" w:color="auto"/>
              <w:right w:val="single" w:sz="4" w:space="0" w:color="auto"/>
            </w:tcBorders>
            <w:shd w:val="clear" w:color="auto" w:fill="auto"/>
          </w:tcPr>
          <w:p w:rsidR="00383303" w:rsidRDefault="009F407F" w:rsidP="005F4489">
            <w:pPr>
              <w:pStyle w:val="NoSpacing"/>
            </w:pPr>
            <w:r>
              <w:t>D4 ADJ7</w:t>
            </w:r>
          </w:p>
          <w:p w:rsidR="009F407F" w:rsidRPr="00CD7EB3" w:rsidRDefault="009F407F" w:rsidP="005F4489">
            <w:pPr>
              <w:pStyle w:val="NoSpacing"/>
            </w:pPr>
            <w:r>
              <w:t>D4 ADJ7</w:t>
            </w:r>
          </w:p>
        </w:tc>
        <w:tc>
          <w:tcPr>
            <w:tcW w:w="4980" w:type="dxa"/>
            <w:tcBorders>
              <w:top w:val="nil"/>
              <w:left w:val="nil"/>
              <w:bottom w:val="single" w:sz="4" w:space="0" w:color="auto"/>
              <w:right w:val="single" w:sz="4" w:space="0" w:color="auto"/>
            </w:tcBorders>
            <w:shd w:val="clear" w:color="auto" w:fill="auto"/>
          </w:tcPr>
          <w:p w:rsidR="00383303" w:rsidRPr="00CD7EB3" w:rsidRDefault="009F407F" w:rsidP="005F4489">
            <w:pPr>
              <w:pStyle w:val="NoSpacing"/>
            </w:pPr>
            <w:r>
              <w:t>These areas are important public parking areas and provide an important buffer to the existing wilderness.</w:t>
            </w:r>
          </w:p>
        </w:tc>
      </w:tr>
      <w:tr w:rsidR="00CD7EB3" w:rsidRPr="00CD7EB3" w:rsidTr="004A5A80">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9F407F">
              <w:t>Preliminary Draft Forest Plan</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9F407F">
              <w:t>Alternative “E” Mountainair Ranger District</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9F407F" w:rsidP="005F4489">
            <w:pPr>
              <w:pStyle w:val="NoSpacing"/>
            </w:pPr>
            <w:r>
              <w:t>186</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Default="00CD7EB3" w:rsidP="005F4489">
            <w:pPr>
              <w:pStyle w:val="NoSpacing"/>
            </w:pPr>
            <w:r w:rsidRPr="00CD7EB3">
              <w:t> </w:t>
            </w:r>
            <w:r w:rsidR="009F407F">
              <w:t>D4_ADJ4</w:t>
            </w:r>
          </w:p>
          <w:p w:rsidR="009F407F" w:rsidRPr="00CD7EB3" w:rsidRDefault="009F407F" w:rsidP="005F4489">
            <w:pPr>
              <w:pStyle w:val="NoSpacing"/>
            </w:pP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5F4489">
            <w:pPr>
              <w:pStyle w:val="NoSpacing"/>
            </w:pPr>
            <w:r w:rsidRPr="00CD7EB3">
              <w:t> </w:t>
            </w:r>
            <w:r w:rsidR="004A5A80">
              <w:t xml:space="preserve">This area is adjacent to the Isleta Thinning Project and is used as a car camping area for recreationists. </w:t>
            </w:r>
          </w:p>
        </w:tc>
      </w:tr>
      <w:tr w:rsidR="004A5A80" w:rsidRPr="00CD7EB3" w:rsidTr="004A5A80">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4A5A80" w:rsidRPr="00CD7EB3" w:rsidRDefault="004A5A80" w:rsidP="005F4489">
            <w:pPr>
              <w:pStyle w:val="NoSpacing"/>
            </w:pPr>
            <w:r>
              <w:t>Preliminary Draft Forest Plan</w:t>
            </w:r>
          </w:p>
        </w:tc>
        <w:tc>
          <w:tcPr>
            <w:tcW w:w="1710"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Alternative “E” Mountainair Ranger District</w:t>
            </w:r>
          </w:p>
        </w:tc>
        <w:tc>
          <w:tcPr>
            <w:tcW w:w="900" w:type="dxa"/>
            <w:tcBorders>
              <w:top w:val="single" w:sz="4" w:space="0" w:color="auto"/>
              <w:left w:val="nil"/>
              <w:bottom w:val="single" w:sz="4" w:space="0" w:color="auto"/>
              <w:right w:val="single" w:sz="4" w:space="0" w:color="auto"/>
            </w:tcBorders>
            <w:shd w:val="clear" w:color="auto" w:fill="auto"/>
          </w:tcPr>
          <w:p w:rsidR="004A5A80" w:rsidRDefault="004A5A80" w:rsidP="005F4489">
            <w:pPr>
              <w:pStyle w:val="NoSpacing"/>
            </w:pPr>
            <w:r>
              <w:t>186</w:t>
            </w:r>
          </w:p>
        </w:tc>
        <w:tc>
          <w:tcPr>
            <w:tcW w:w="975"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D4_ADJ1</w:t>
            </w:r>
          </w:p>
        </w:tc>
        <w:tc>
          <w:tcPr>
            <w:tcW w:w="4980"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This area is used by the private land owner and the Pueblo of Isleta for livestock and fire management.</w:t>
            </w:r>
          </w:p>
        </w:tc>
      </w:tr>
      <w:tr w:rsidR="004A5A80" w:rsidRPr="00CD7EB3" w:rsidTr="004A5A80">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4A5A80" w:rsidRPr="00CD7EB3" w:rsidRDefault="004A5A80" w:rsidP="005F4489">
            <w:pPr>
              <w:pStyle w:val="NoSpacing"/>
            </w:pPr>
            <w:r>
              <w:t>Preliminary Draft Forest Plan</w:t>
            </w:r>
          </w:p>
        </w:tc>
        <w:tc>
          <w:tcPr>
            <w:tcW w:w="1710"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Alternative “E” Mountainair Ranger District</w:t>
            </w:r>
          </w:p>
        </w:tc>
        <w:tc>
          <w:tcPr>
            <w:tcW w:w="900" w:type="dxa"/>
            <w:tcBorders>
              <w:top w:val="single" w:sz="4" w:space="0" w:color="auto"/>
              <w:left w:val="nil"/>
              <w:bottom w:val="single" w:sz="4" w:space="0" w:color="auto"/>
              <w:right w:val="single" w:sz="4" w:space="0" w:color="auto"/>
            </w:tcBorders>
            <w:shd w:val="clear" w:color="auto" w:fill="auto"/>
          </w:tcPr>
          <w:p w:rsidR="004A5A80" w:rsidRDefault="004A5A80" w:rsidP="005F4489">
            <w:pPr>
              <w:pStyle w:val="NoSpacing"/>
            </w:pPr>
            <w:r>
              <w:t>186</w:t>
            </w:r>
          </w:p>
        </w:tc>
        <w:tc>
          <w:tcPr>
            <w:tcW w:w="975"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D4_ADJ2</w:t>
            </w:r>
          </w:p>
        </w:tc>
        <w:tc>
          <w:tcPr>
            <w:tcW w:w="4980"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Parking lot for the Encino trailhead, public parking lot and contains allotment range water development and associated access trails.</w:t>
            </w:r>
          </w:p>
        </w:tc>
      </w:tr>
      <w:tr w:rsidR="004A5A80" w:rsidRPr="00CD7EB3" w:rsidTr="004A5A80">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4A5A80" w:rsidRPr="00CD7EB3" w:rsidRDefault="004A5A80" w:rsidP="005F4489">
            <w:pPr>
              <w:pStyle w:val="NoSpacing"/>
            </w:pPr>
            <w:r>
              <w:lastRenderedPageBreak/>
              <w:t>Preliminary Draft Forest Plan</w:t>
            </w:r>
          </w:p>
        </w:tc>
        <w:tc>
          <w:tcPr>
            <w:tcW w:w="1710"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Alternative “E” Mountainair Ranger District</w:t>
            </w:r>
          </w:p>
        </w:tc>
        <w:tc>
          <w:tcPr>
            <w:tcW w:w="900" w:type="dxa"/>
            <w:tcBorders>
              <w:top w:val="single" w:sz="4" w:space="0" w:color="auto"/>
              <w:left w:val="nil"/>
              <w:bottom w:val="single" w:sz="4" w:space="0" w:color="auto"/>
              <w:right w:val="single" w:sz="4" w:space="0" w:color="auto"/>
            </w:tcBorders>
            <w:shd w:val="clear" w:color="auto" w:fill="auto"/>
          </w:tcPr>
          <w:p w:rsidR="004A5A80" w:rsidRDefault="004A5A80" w:rsidP="005F4489">
            <w:pPr>
              <w:pStyle w:val="NoSpacing"/>
            </w:pPr>
            <w:r>
              <w:t>186</w:t>
            </w:r>
          </w:p>
        </w:tc>
        <w:tc>
          <w:tcPr>
            <w:tcW w:w="975"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Portion D4_5K2</w:t>
            </w:r>
          </w:p>
        </w:tc>
        <w:tc>
          <w:tcPr>
            <w:tcW w:w="4980" w:type="dxa"/>
            <w:tcBorders>
              <w:top w:val="single" w:sz="4" w:space="0" w:color="auto"/>
              <w:left w:val="nil"/>
              <w:bottom w:val="single" w:sz="4" w:space="0" w:color="auto"/>
              <w:right w:val="single" w:sz="4" w:space="0" w:color="auto"/>
            </w:tcBorders>
            <w:shd w:val="clear" w:color="auto" w:fill="auto"/>
          </w:tcPr>
          <w:p w:rsidR="004A5A80" w:rsidRPr="00CD7EB3" w:rsidRDefault="004A5A80" w:rsidP="00193D9D">
            <w:pPr>
              <w:pStyle w:val="NoSpacing"/>
            </w:pPr>
            <w:r>
              <w:t xml:space="preserve">This area is a part of the 2004 Lookout Fire and </w:t>
            </w:r>
            <w:r w:rsidR="00193D9D">
              <w:t>the upland portion is degraded into low growing shrubs and bare gravelly soils. May not possess wilderness characteristics.</w:t>
            </w:r>
          </w:p>
        </w:tc>
      </w:tr>
      <w:tr w:rsidR="004A5A80" w:rsidRPr="00CD7EB3" w:rsidTr="00193D9D">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4A5A80" w:rsidRPr="00CD7EB3" w:rsidRDefault="004A5A80" w:rsidP="005F4489">
            <w:pPr>
              <w:pStyle w:val="NoSpacing"/>
            </w:pPr>
            <w:r>
              <w:t>Preliminary Draft Forest Plan</w:t>
            </w:r>
          </w:p>
        </w:tc>
        <w:tc>
          <w:tcPr>
            <w:tcW w:w="1710"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Alternative “E” Mountainair Ranger District</w:t>
            </w:r>
          </w:p>
        </w:tc>
        <w:tc>
          <w:tcPr>
            <w:tcW w:w="900" w:type="dxa"/>
            <w:tcBorders>
              <w:top w:val="single" w:sz="4" w:space="0" w:color="auto"/>
              <w:left w:val="nil"/>
              <w:bottom w:val="single" w:sz="4" w:space="0" w:color="auto"/>
              <w:right w:val="single" w:sz="4" w:space="0" w:color="auto"/>
            </w:tcBorders>
            <w:shd w:val="clear" w:color="auto" w:fill="auto"/>
          </w:tcPr>
          <w:p w:rsidR="004A5A80" w:rsidRDefault="004A5A80" w:rsidP="005F4489">
            <w:pPr>
              <w:pStyle w:val="NoSpacing"/>
            </w:pPr>
            <w:r>
              <w:t>186</w:t>
            </w:r>
          </w:p>
        </w:tc>
        <w:tc>
          <w:tcPr>
            <w:tcW w:w="975"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D4_ADJ7</w:t>
            </w:r>
          </w:p>
        </w:tc>
        <w:tc>
          <w:tcPr>
            <w:tcW w:w="4980" w:type="dxa"/>
            <w:tcBorders>
              <w:top w:val="single" w:sz="4" w:space="0" w:color="auto"/>
              <w:left w:val="nil"/>
              <w:bottom w:val="single" w:sz="4" w:space="0" w:color="auto"/>
              <w:right w:val="single" w:sz="4" w:space="0" w:color="auto"/>
            </w:tcBorders>
            <w:shd w:val="clear" w:color="auto" w:fill="auto"/>
          </w:tcPr>
          <w:p w:rsidR="004A5A80" w:rsidRPr="00CD7EB3" w:rsidRDefault="00193D9D" w:rsidP="005F4489">
            <w:pPr>
              <w:pStyle w:val="NoSpacing"/>
            </w:pPr>
            <w:r>
              <w:t>These areas are important public parking areas and provide an important buffer to the existing wilderness.</w:t>
            </w:r>
          </w:p>
        </w:tc>
      </w:tr>
      <w:tr w:rsidR="004A5A80" w:rsidRPr="00CD7EB3" w:rsidTr="00193D9D">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4A5A80" w:rsidRPr="00CD7EB3" w:rsidRDefault="004A5A80" w:rsidP="005F4489">
            <w:pPr>
              <w:pStyle w:val="NoSpacing"/>
            </w:pPr>
            <w:r>
              <w:t>Preliminary Draft Forest Plan</w:t>
            </w:r>
          </w:p>
        </w:tc>
        <w:tc>
          <w:tcPr>
            <w:tcW w:w="1710"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Alternative “E” Mountainair Ranger District</w:t>
            </w:r>
          </w:p>
        </w:tc>
        <w:tc>
          <w:tcPr>
            <w:tcW w:w="900" w:type="dxa"/>
            <w:tcBorders>
              <w:top w:val="single" w:sz="4" w:space="0" w:color="auto"/>
              <w:left w:val="nil"/>
              <w:bottom w:val="single" w:sz="4" w:space="0" w:color="auto"/>
              <w:right w:val="single" w:sz="4" w:space="0" w:color="auto"/>
            </w:tcBorders>
            <w:shd w:val="clear" w:color="auto" w:fill="auto"/>
          </w:tcPr>
          <w:p w:rsidR="004A5A80" w:rsidRDefault="004A5A80" w:rsidP="005F4489">
            <w:pPr>
              <w:pStyle w:val="NoSpacing"/>
            </w:pPr>
            <w:r>
              <w:t>186</w:t>
            </w:r>
          </w:p>
        </w:tc>
        <w:tc>
          <w:tcPr>
            <w:tcW w:w="975" w:type="dxa"/>
            <w:tcBorders>
              <w:top w:val="single" w:sz="4" w:space="0" w:color="auto"/>
              <w:left w:val="nil"/>
              <w:bottom w:val="single" w:sz="4" w:space="0" w:color="auto"/>
              <w:right w:val="single" w:sz="4" w:space="0" w:color="auto"/>
            </w:tcBorders>
            <w:shd w:val="clear" w:color="auto" w:fill="auto"/>
          </w:tcPr>
          <w:p w:rsidR="004A5A80" w:rsidRPr="00CD7EB3" w:rsidRDefault="004A5A80" w:rsidP="005F4489">
            <w:pPr>
              <w:pStyle w:val="NoSpacing"/>
            </w:pPr>
            <w:r>
              <w:t>D4_ADJ8</w:t>
            </w:r>
          </w:p>
        </w:tc>
        <w:tc>
          <w:tcPr>
            <w:tcW w:w="4980" w:type="dxa"/>
            <w:tcBorders>
              <w:top w:val="single" w:sz="4" w:space="0" w:color="auto"/>
              <w:left w:val="nil"/>
              <w:bottom w:val="single" w:sz="4" w:space="0" w:color="auto"/>
              <w:right w:val="single" w:sz="4" w:space="0" w:color="auto"/>
            </w:tcBorders>
            <w:shd w:val="clear" w:color="auto" w:fill="auto"/>
          </w:tcPr>
          <w:p w:rsidR="004A5A80" w:rsidRPr="00CD7EB3" w:rsidRDefault="00193D9D" w:rsidP="005F4489">
            <w:pPr>
              <w:pStyle w:val="NoSpacing"/>
            </w:pPr>
            <w:r>
              <w:t>These areas are important public parking areas and provide an important buffer to the existing wilderness.</w:t>
            </w:r>
          </w:p>
        </w:tc>
      </w:tr>
      <w:tr w:rsidR="00193D9D" w:rsidRPr="00CD7EB3" w:rsidTr="00193D9D">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193D9D" w:rsidRDefault="00193D9D" w:rsidP="005F4489">
            <w:pPr>
              <w:pStyle w:val="NoSpacing"/>
            </w:pPr>
            <w:r>
              <w:t>Preliminary Draft Forest Plan</w:t>
            </w:r>
          </w:p>
        </w:tc>
        <w:tc>
          <w:tcPr>
            <w:tcW w:w="171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r>
              <w:t>Alternative “B” Mountainair Ranger District</w:t>
            </w:r>
          </w:p>
        </w:tc>
        <w:tc>
          <w:tcPr>
            <w:tcW w:w="90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r>
              <w:t>180</w:t>
            </w:r>
          </w:p>
        </w:tc>
        <w:tc>
          <w:tcPr>
            <w:tcW w:w="975"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r>
              <w:t>Gallinas Watershed</w:t>
            </w:r>
          </w:p>
        </w:tc>
        <w:tc>
          <w:tcPr>
            <w:tcW w:w="4980" w:type="dxa"/>
            <w:tcBorders>
              <w:top w:val="single" w:sz="4" w:space="0" w:color="auto"/>
              <w:left w:val="nil"/>
              <w:bottom w:val="single" w:sz="4" w:space="0" w:color="auto"/>
              <w:right w:val="single" w:sz="4" w:space="0" w:color="auto"/>
            </w:tcBorders>
            <w:shd w:val="clear" w:color="auto" w:fill="auto"/>
          </w:tcPr>
          <w:p w:rsidR="00193D9D" w:rsidRDefault="00193D9D" w:rsidP="00193D9D">
            <w:pPr>
              <w:pStyle w:val="NoSpacing"/>
            </w:pPr>
            <w:r>
              <w:t xml:space="preserve">CPSWCD supports this management area designation given the importance </w:t>
            </w:r>
            <w:r>
              <w:t>a</w:t>
            </w:r>
            <w:r>
              <w:t>s a</w:t>
            </w:r>
            <w:r>
              <w:t xml:space="preserve"> priority watershed</w:t>
            </w:r>
            <w:r>
              <w:t xml:space="preserve"> for the municipal water serving</w:t>
            </w:r>
            <w:bookmarkStart w:id="1" w:name="_GoBack"/>
            <w:bookmarkEnd w:id="1"/>
            <w:r>
              <w:t xml:space="preserve"> the Village of Corona </w:t>
            </w:r>
          </w:p>
        </w:tc>
      </w:tr>
      <w:tr w:rsidR="00193D9D" w:rsidRPr="00CD7EB3" w:rsidTr="00193D9D">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193D9D" w:rsidRDefault="00193D9D" w:rsidP="005F4489">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c>
          <w:tcPr>
            <w:tcW w:w="90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r>
      <w:tr w:rsidR="00193D9D" w:rsidRPr="00CD7EB3" w:rsidTr="00193D9D">
        <w:trPr>
          <w:trHeight w:val="467"/>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193D9D" w:rsidRDefault="00193D9D" w:rsidP="005F4489">
            <w:pPr>
              <w:pStyle w:val="NoSpacing"/>
            </w:pPr>
          </w:p>
        </w:tc>
        <w:tc>
          <w:tcPr>
            <w:tcW w:w="171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c>
          <w:tcPr>
            <w:tcW w:w="90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c>
          <w:tcPr>
            <w:tcW w:w="975"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c>
          <w:tcPr>
            <w:tcW w:w="4980" w:type="dxa"/>
            <w:tcBorders>
              <w:top w:val="single" w:sz="4" w:space="0" w:color="auto"/>
              <w:left w:val="nil"/>
              <w:bottom w:val="single" w:sz="4" w:space="0" w:color="auto"/>
              <w:right w:val="single" w:sz="4" w:space="0" w:color="auto"/>
            </w:tcBorders>
            <w:shd w:val="clear" w:color="auto" w:fill="auto"/>
          </w:tcPr>
          <w:p w:rsidR="00193D9D" w:rsidRDefault="00193D9D" w:rsidP="005F4489">
            <w:pPr>
              <w:pStyle w:val="NoSpacing"/>
            </w:pPr>
          </w:p>
        </w:tc>
      </w:tr>
    </w:tbl>
    <w:p w:rsidR="00523A1E" w:rsidRDefault="00523A1E" w:rsidP="005F4489">
      <w:pPr>
        <w:pStyle w:val="NoSpacing"/>
      </w:pPr>
    </w:p>
    <w:sectPr w:rsidR="00523A1E" w:rsidSect="00CD7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0E7C78"/>
    <w:rsid w:val="00193D9D"/>
    <w:rsid w:val="001A3F14"/>
    <w:rsid w:val="00246045"/>
    <w:rsid w:val="002A3328"/>
    <w:rsid w:val="00383303"/>
    <w:rsid w:val="004A5A80"/>
    <w:rsid w:val="00523A1E"/>
    <w:rsid w:val="00571C7D"/>
    <w:rsid w:val="005F4489"/>
    <w:rsid w:val="00733FB8"/>
    <w:rsid w:val="008743FD"/>
    <w:rsid w:val="00877684"/>
    <w:rsid w:val="008E4C5B"/>
    <w:rsid w:val="00940500"/>
    <w:rsid w:val="009F407F"/>
    <w:rsid w:val="00CA49AC"/>
    <w:rsid w:val="00CD6586"/>
    <w:rsid w:val="00CD7EB3"/>
    <w:rsid w:val="00F0041A"/>
    <w:rsid w:val="00F7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5718-73CE-494E-B5D6-D9FC2F5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F4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Tarr, Dierdre - NRCS, Mountainair, NM</cp:lastModifiedBy>
  <cp:revision>6</cp:revision>
  <dcterms:created xsi:type="dcterms:W3CDTF">2016-08-31T16:00:00Z</dcterms:created>
  <dcterms:modified xsi:type="dcterms:W3CDTF">2016-08-31T20:09:00Z</dcterms:modified>
</cp:coreProperties>
</file>